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949" w:rsidRPr="00B52949" w:rsidRDefault="00B52949" w:rsidP="00B52949">
      <w:pPr>
        <w:spacing w:line="480" w:lineRule="auto"/>
        <w:jc w:val="center"/>
        <w:rPr>
          <w:rFonts w:eastAsia="宋体"/>
          <w:b/>
          <w:sz w:val="28"/>
          <w:lang w:eastAsia="zh-CN"/>
        </w:rPr>
      </w:pPr>
      <w:bookmarkStart w:id="0" w:name="_GoBack"/>
      <w:r w:rsidRPr="00B52949">
        <w:rPr>
          <w:rFonts w:eastAsia="宋体" w:hint="eastAsia"/>
          <w:b/>
          <w:sz w:val="28"/>
          <w:lang w:eastAsia="zh-CN"/>
        </w:rPr>
        <w:t>间充质干细胞神经转分化在缺血性脑卒中治疗的</w:t>
      </w:r>
      <w:r w:rsidRPr="00B52949">
        <w:rPr>
          <w:rFonts w:eastAsia="宋体"/>
          <w:b/>
          <w:sz w:val="28"/>
          <w:lang w:eastAsia="zh-CN"/>
        </w:rPr>
        <w:t>临床前</w:t>
      </w:r>
      <w:r w:rsidRPr="00B52949">
        <w:rPr>
          <w:rFonts w:eastAsia="宋体" w:hint="eastAsia"/>
          <w:b/>
          <w:sz w:val="28"/>
          <w:lang w:eastAsia="zh-CN"/>
        </w:rPr>
        <w:t>研究</w:t>
      </w:r>
    </w:p>
    <w:bookmarkEnd w:id="0"/>
    <w:p w:rsidR="006008DA" w:rsidRPr="006008DA" w:rsidRDefault="006008DA" w:rsidP="006008DA">
      <w:pPr>
        <w:spacing w:line="480" w:lineRule="auto"/>
        <w:ind w:firstLineChars="200" w:firstLine="480"/>
        <w:rPr>
          <w:rFonts w:eastAsia="宋体"/>
          <w:lang w:eastAsia="zh-CN"/>
        </w:rPr>
      </w:pPr>
      <w:r w:rsidRPr="006008DA">
        <w:rPr>
          <w:rFonts w:eastAsia="宋体" w:hint="eastAsia"/>
          <w:lang w:eastAsia="zh-CN"/>
        </w:rPr>
        <w:t>本课题组</w:t>
      </w:r>
      <w:r w:rsidRPr="006008DA">
        <w:rPr>
          <w:rFonts w:eastAsia="宋体"/>
          <w:lang w:eastAsia="zh-CN"/>
        </w:rPr>
        <w:t>将</w:t>
      </w:r>
      <w:r>
        <w:rPr>
          <w:rFonts w:eastAsia="宋体" w:hint="eastAsia"/>
          <w:lang w:eastAsia="zh-CN"/>
        </w:rPr>
        <w:t>启动</w:t>
      </w:r>
      <w:r w:rsidR="00F16DAA">
        <w:rPr>
          <w:rFonts w:eastAsia="宋体" w:hint="eastAsia"/>
          <w:lang w:eastAsia="zh-CN"/>
        </w:rPr>
        <w:t>“</w:t>
      </w:r>
      <w:r w:rsidRPr="006008DA">
        <w:rPr>
          <w:rFonts w:eastAsia="宋体" w:hint="eastAsia"/>
          <w:lang w:eastAsia="zh-CN"/>
        </w:rPr>
        <w:t>间充质干细胞神经转分化在缺血性脑卒中治疗的</w:t>
      </w:r>
      <w:r w:rsidRPr="006008DA">
        <w:rPr>
          <w:rFonts w:eastAsia="宋体"/>
          <w:lang w:eastAsia="zh-CN"/>
        </w:rPr>
        <w:t>临床前</w:t>
      </w:r>
      <w:r w:rsidRPr="006008DA">
        <w:rPr>
          <w:rFonts w:eastAsia="宋体" w:hint="eastAsia"/>
          <w:lang w:eastAsia="zh-CN"/>
        </w:rPr>
        <w:t>研究</w:t>
      </w:r>
      <w:r w:rsidR="00F16DAA">
        <w:rPr>
          <w:rFonts w:eastAsia="宋体" w:hint="eastAsia"/>
          <w:lang w:eastAsia="zh-CN"/>
        </w:rPr>
        <w:t>”项目</w:t>
      </w:r>
      <w:r w:rsidR="00F16DAA">
        <w:rPr>
          <w:rFonts w:eastAsia="宋体"/>
          <w:lang w:eastAsia="zh-CN"/>
        </w:rPr>
        <w:t>，</w:t>
      </w:r>
      <w:r w:rsidR="00F16DAA">
        <w:rPr>
          <w:rFonts w:eastAsia="宋体" w:hint="eastAsia"/>
          <w:lang w:eastAsia="zh-CN"/>
        </w:rPr>
        <w:t>旨在探讨</w:t>
      </w:r>
      <w:r w:rsidR="00F16DAA">
        <w:rPr>
          <w:rFonts w:eastAsia="宋体" w:hint="eastAsia"/>
          <w:lang w:eastAsia="zh-CN"/>
        </w:rPr>
        <w:t>PTB</w:t>
      </w:r>
      <w:proofErr w:type="gramStart"/>
      <w:r w:rsidR="00F16DAA">
        <w:rPr>
          <w:rFonts w:eastAsia="宋体" w:hint="eastAsia"/>
          <w:lang w:eastAsia="zh-CN"/>
        </w:rPr>
        <w:t>敲低</w:t>
      </w:r>
      <w:r w:rsidR="00F16DAA">
        <w:rPr>
          <w:rFonts w:eastAsia="宋体"/>
          <w:lang w:eastAsia="zh-CN"/>
        </w:rPr>
        <w:t>的</w:t>
      </w:r>
      <w:proofErr w:type="gramEnd"/>
      <w:r w:rsidR="00F16DAA">
        <w:rPr>
          <w:rFonts w:eastAsia="宋体"/>
          <w:lang w:eastAsia="zh-CN"/>
        </w:rPr>
        <w:t>间充质干细胞</w:t>
      </w:r>
      <w:r w:rsidR="00F16DAA">
        <w:rPr>
          <w:rFonts w:eastAsia="宋体" w:hint="eastAsia"/>
          <w:lang w:eastAsia="zh-CN"/>
        </w:rPr>
        <w:t>在非人灵长类</w:t>
      </w:r>
      <w:r w:rsidR="00F16DAA" w:rsidRPr="006008DA">
        <w:rPr>
          <w:rFonts w:eastAsia="宋体" w:hint="eastAsia"/>
          <w:lang w:eastAsia="zh-CN"/>
        </w:rPr>
        <w:t>缺血性脑卒中治疗</w:t>
      </w:r>
      <w:r w:rsidR="00F16DAA">
        <w:rPr>
          <w:rFonts w:eastAsia="宋体" w:hint="eastAsia"/>
          <w:lang w:eastAsia="zh-CN"/>
        </w:rPr>
        <w:t>效果</w:t>
      </w:r>
      <w:r w:rsidR="003B6D8E">
        <w:rPr>
          <w:rFonts w:eastAsia="宋体" w:hint="eastAsia"/>
          <w:lang w:eastAsia="zh-CN"/>
        </w:rPr>
        <w:t>，</w:t>
      </w:r>
      <w:r w:rsidR="003B6D8E">
        <w:rPr>
          <w:rFonts w:eastAsia="宋体"/>
          <w:lang w:eastAsia="zh-CN"/>
        </w:rPr>
        <w:t>现</w:t>
      </w:r>
    </w:p>
    <w:p w:rsidR="006008DA" w:rsidRPr="00C16355" w:rsidRDefault="00897294" w:rsidP="00897294">
      <w:pPr>
        <w:spacing w:line="480" w:lineRule="auto"/>
        <w:ind w:firstLineChars="200" w:firstLine="562"/>
        <w:rPr>
          <w:rFonts w:asciiTheme="minorEastAsia" w:eastAsia="宋体" w:hAnsiTheme="minorEastAsia" w:cs="仿宋_GB2312"/>
          <w:b/>
          <w:sz w:val="28"/>
          <w:szCs w:val="28"/>
          <w:lang w:eastAsia="zh-CN"/>
        </w:rPr>
      </w:pPr>
      <w:r w:rsidRPr="00C16355">
        <w:rPr>
          <w:rFonts w:asciiTheme="minorEastAsia" w:eastAsia="宋体" w:hAnsiTheme="minorEastAsia" w:cs="仿宋_GB2312" w:hint="eastAsia"/>
          <w:b/>
          <w:sz w:val="28"/>
          <w:szCs w:val="28"/>
          <w:lang w:eastAsia="zh-CN"/>
        </w:rPr>
        <w:t>具体的</w:t>
      </w:r>
      <w:r w:rsidR="00C16355">
        <w:rPr>
          <w:rFonts w:asciiTheme="minorEastAsia" w:eastAsia="宋体" w:hAnsiTheme="minorEastAsia" w:cs="仿宋_GB2312" w:hint="eastAsia"/>
          <w:b/>
          <w:sz w:val="28"/>
          <w:szCs w:val="28"/>
          <w:lang w:eastAsia="zh-CN"/>
        </w:rPr>
        <w:t>实验</w:t>
      </w:r>
      <w:r w:rsidRPr="00C16355">
        <w:rPr>
          <w:rFonts w:asciiTheme="minorEastAsia" w:eastAsia="宋体" w:hAnsiTheme="minorEastAsia" w:cs="仿宋_GB2312" w:hint="eastAsia"/>
          <w:b/>
          <w:sz w:val="28"/>
          <w:szCs w:val="28"/>
          <w:lang w:eastAsia="zh-CN"/>
        </w:rPr>
        <w:t>要求</w:t>
      </w:r>
      <w:r w:rsidRPr="00C16355">
        <w:rPr>
          <w:rFonts w:asciiTheme="minorEastAsia" w:eastAsia="宋体" w:hAnsiTheme="minorEastAsia" w:cs="仿宋_GB2312"/>
          <w:b/>
          <w:sz w:val="28"/>
          <w:szCs w:val="28"/>
          <w:lang w:eastAsia="zh-CN"/>
        </w:rPr>
        <w:t>如下：</w:t>
      </w:r>
    </w:p>
    <w:p w:rsidR="009471EB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 w:rsidRPr="0023719F">
        <w:rPr>
          <w:rFonts w:eastAsia="宋体" w:hint="eastAsia"/>
          <w:lang w:eastAsia="zh-CN"/>
        </w:rPr>
        <w:t>1</w:t>
      </w:r>
      <w:r w:rsidRPr="0023719F">
        <w:rPr>
          <w:rFonts w:eastAsia="宋体" w:hint="eastAsia"/>
          <w:lang w:eastAsia="zh-CN"/>
        </w:rPr>
        <w:t>）乙方提供</w:t>
      </w:r>
      <w:r w:rsidRPr="0023719F">
        <w:rPr>
          <w:rFonts w:eastAsia="宋体" w:hint="eastAsia"/>
          <w:lang w:eastAsia="zh-CN"/>
        </w:rPr>
        <w:t>12</w:t>
      </w:r>
      <w:r w:rsidR="00897294">
        <w:rPr>
          <w:rFonts w:eastAsia="宋体" w:hint="eastAsia"/>
          <w:lang w:eastAsia="zh-CN"/>
        </w:rPr>
        <w:t>只普通</w:t>
      </w:r>
      <w:proofErr w:type="gramStart"/>
      <w:r w:rsidR="00897294">
        <w:rPr>
          <w:rFonts w:eastAsia="宋体" w:hint="eastAsia"/>
          <w:lang w:eastAsia="zh-CN"/>
        </w:rPr>
        <w:t>级健康</w:t>
      </w:r>
      <w:proofErr w:type="gramEnd"/>
      <w:r w:rsidR="00897294">
        <w:rPr>
          <w:rFonts w:eastAsia="宋体" w:hint="eastAsia"/>
          <w:lang w:eastAsia="zh-CN"/>
        </w:rPr>
        <w:t>食蟹猴</w:t>
      </w:r>
      <w:r w:rsidRPr="0023719F">
        <w:rPr>
          <w:rFonts w:eastAsia="宋体" w:hint="eastAsia"/>
          <w:lang w:eastAsia="zh-CN"/>
        </w:rPr>
        <w:t>，年龄</w:t>
      </w:r>
      <w:r w:rsidR="00897294">
        <w:rPr>
          <w:rFonts w:eastAsia="宋体"/>
          <w:lang w:eastAsia="zh-CN"/>
        </w:rPr>
        <w:t>6</w:t>
      </w:r>
      <w:r w:rsidRPr="0023719F">
        <w:rPr>
          <w:rFonts w:eastAsia="宋体" w:hint="eastAsia"/>
          <w:lang w:eastAsia="zh-CN"/>
        </w:rPr>
        <w:t>-10</w:t>
      </w:r>
      <w:r w:rsidRPr="0023719F">
        <w:rPr>
          <w:rFonts w:eastAsia="宋体" w:hint="eastAsia"/>
          <w:lang w:eastAsia="zh-CN"/>
        </w:rPr>
        <w:t>岁</w:t>
      </w:r>
      <w:r w:rsidRPr="0023719F">
        <w:rPr>
          <w:rFonts w:asciiTheme="minorEastAsia" w:eastAsia="宋体" w:hAnsiTheme="minorEastAsia" w:cs="仿宋_GB2312" w:hint="eastAsia"/>
          <w:lang w:eastAsia="zh-CN"/>
        </w:rPr>
        <w:t>；</w:t>
      </w:r>
    </w:p>
    <w:p w:rsidR="009471EB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lang w:eastAsia="zh-CN"/>
        </w:rPr>
      </w:pPr>
      <w:r w:rsidRPr="0023719F">
        <w:rPr>
          <w:rFonts w:asciiTheme="minorEastAsia" w:eastAsia="宋体" w:hAnsiTheme="minorEastAsia" w:cs="仿宋_GB2312" w:hint="eastAsia"/>
          <w:lang w:eastAsia="zh-CN"/>
        </w:rPr>
        <w:t>（2）按照AAALAC饲养的标准，负责饲养12只实验动物（根据实验方案，动物检疫期为1个月，实验周期为1个月，共2个月时间）；</w:t>
      </w:r>
    </w:p>
    <w:p w:rsidR="009471EB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lang w:eastAsia="zh-CN"/>
        </w:rPr>
      </w:pPr>
      <w:r w:rsidRPr="0023719F">
        <w:rPr>
          <w:rFonts w:asciiTheme="minorEastAsia" w:eastAsia="宋体" w:hAnsiTheme="minorEastAsia" w:cs="仿宋_GB2312" w:hint="eastAsia"/>
          <w:lang w:eastAsia="zh-CN"/>
        </w:rPr>
        <w:t>（3）乙方负责12只动物的检验检疫、日常临床观察及必要护理；</w:t>
      </w:r>
    </w:p>
    <w:p w:rsidR="009471EB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asciiTheme="minorEastAsia" w:eastAsia="宋体" w:hAnsiTheme="minorEastAsia" w:cs="仿宋_GB2312" w:hint="eastAsia"/>
          <w:lang w:eastAsia="zh-CN"/>
        </w:rPr>
        <w:t>（4） 根据实验方案设计，乙方负责12只动物缺血性脑卒中模型的构建（大脑中动脉M1段夹闭2h），乙方负责辅助甲方通过立体定向注射方式分别注射间充质干细胞，移植方案由甲方确定</w:t>
      </w:r>
      <w:r w:rsidRPr="0023719F">
        <w:rPr>
          <w:rFonts w:asciiTheme="minorEastAsia" w:eastAsia="宋体" w:hAnsiTheme="minorEastAsia" w:cs="仿宋_GB2312" w:hint="eastAsia"/>
          <w:color w:val="auto"/>
          <w:lang w:eastAsia="zh-CN"/>
        </w:rPr>
        <w:t>；</w:t>
      </w:r>
    </w:p>
    <w:p w:rsidR="009471EB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asciiTheme="minorEastAsia" w:eastAsia="宋体" w:hAnsiTheme="minorEastAsia" w:cs="仿宋_GB2312" w:hint="eastAsia"/>
          <w:color w:val="auto"/>
          <w:lang w:eastAsia="zh-CN"/>
        </w:rPr>
        <w:t>（5）根据实验方案设计时间点，乙方负责12只动物术前、术后修复处理后、持续到28d的MRI数据采集（数据分析由甲方负责）；</w:t>
      </w:r>
    </w:p>
    <w:p w:rsidR="009471EB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asciiTheme="minorEastAsia" w:eastAsia="宋体" w:hAnsiTheme="minorEastAsia" w:cs="仿宋_GB2312" w:hint="eastAsia"/>
          <w:color w:val="auto"/>
          <w:lang w:eastAsia="zh-CN"/>
        </w:rPr>
        <w:t>（6）根据实验方案设计时间点，乙方负责12只动物神经功能缺损评分、行为学评分及其他体液样本（包括血液、脑脊液等）的采集，具体根据实验方案执行；</w:t>
      </w:r>
    </w:p>
    <w:p w:rsidR="0023719F" w:rsidRPr="0023719F" w:rsidRDefault="0023719F" w:rsidP="0023719F">
      <w:pPr>
        <w:spacing w:line="480" w:lineRule="auto"/>
        <w:ind w:firstLineChars="200" w:firstLine="480"/>
        <w:rPr>
          <w:rFonts w:asciiTheme="minorEastAsia" w:eastAsia="宋体" w:hAnsiTheme="minorEastAsia" w:cs="仿宋_GB2312"/>
          <w:lang w:eastAsia="zh-CN"/>
        </w:rPr>
      </w:pPr>
      <w:r w:rsidRPr="0023719F">
        <w:rPr>
          <w:rFonts w:asciiTheme="minorEastAsia" w:eastAsia="宋体" w:hAnsiTheme="minorEastAsia" w:cs="仿宋_GB2312" w:hint="eastAsia"/>
          <w:color w:val="auto"/>
          <w:lang w:eastAsia="zh-CN"/>
        </w:rPr>
        <w:t>（7）实验结束后，将动物进行安乐死取材，根据客户的需求进行取材</w:t>
      </w:r>
      <w:r>
        <w:rPr>
          <w:rFonts w:asciiTheme="minorEastAsia" w:eastAsia="宋体" w:hAnsiTheme="minorEastAsia" w:cs="仿宋_GB2312" w:hint="eastAsia"/>
          <w:color w:val="auto"/>
          <w:lang w:eastAsia="zh-CN"/>
        </w:rPr>
        <w:t>。</w:t>
      </w:r>
    </w:p>
    <w:p w:rsidR="001B1BA7" w:rsidRDefault="001B1BA7">
      <w:pPr>
        <w:rPr>
          <w:rFonts w:eastAsiaTheme="minorEastAsia"/>
          <w:u w:val="single"/>
          <w:lang w:eastAsia="zh-CN"/>
        </w:rPr>
      </w:pPr>
    </w:p>
    <w:p w:rsidR="00C16355" w:rsidRDefault="00C16355">
      <w:pPr>
        <w:rPr>
          <w:rFonts w:eastAsiaTheme="minorEastAsia"/>
          <w:b/>
          <w:lang w:eastAsia="zh-CN"/>
        </w:rPr>
      </w:pPr>
      <w:r w:rsidRPr="00C16355">
        <w:rPr>
          <w:rFonts w:eastAsiaTheme="minorEastAsia" w:hint="eastAsia"/>
          <w:b/>
          <w:lang w:eastAsia="zh-CN"/>
        </w:rPr>
        <w:t>具体的</w:t>
      </w:r>
      <w:r w:rsidRPr="00C16355">
        <w:rPr>
          <w:rFonts w:eastAsiaTheme="minorEastAsia"/>
          <w:b/>
          <w:lang w:eastAsia="zh-CN"/>
        </w:rPr>
        <w:t>取材及实验数据收集如</w:t>
      </w:r>
      <w:r w:rsidRPr="00C16355">
        <w:rPr>
          <w:rFonts w:eastAsiaTheme="minorEastAsia" w:hint="eastAsia"/>
          <w:b/>
          <w:lang w:eastAsia="zh-CN"/>
        </w:rPr>
        <w:t>下</w:t>
      </w:r>
      <w:r w:rsidRPr="00C16355">
        <w:rPr>
          <w:rFonts w:eastAsiaTheme="minorEastAsia"/>
          <w:b/>
          <w:lang w:eastAsia="zh-CN"/>
        </w:rPr>
        <w:t>：</w:t>
      </w:r>
    </w:p>
    <w:p w:rsidR="00100BE5" w:rsidRDefault="00100BE5">
      <w:pPr>
        <w:rPr>
          <w:rFonts w:eastAsiaTheme="minorEastAsia"/>
          <w:b/>
          <w:lang w:eastAsia="zh-CN"/>
        </w:rPr>
      </w:pPr>
    </w:p>
    <w:p w:rsidR="00100BE5" w:rsidRPr="00100BE5" w:rsidRDefault="00D03F4B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 w:rsidRPr="0023719F">
        <w:rPr>
          <w:rFonts w:eastAsia="宋体" w:hint="eastAsia"/>
          <w:lang w:eastAsia="zh-CN"/>
        </w:rPr>
        <w:t>1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MRI 1.5T (T1、T2)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：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 baseline</w:t>
      </w:r>
    </w:p>
    <w:p w:rsidR="00100BE5" w:rsidRPr="00100BE5" w:rsidRDefault="00D03F4B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>
        <w:rPr>
          <w:rFonts w:eastAsia="宋体"/>
          <w:lang w:eastAsia="zh-CN"/>
        </w:rPr>
        <w:t>2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MRI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 3.0T (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T1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W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,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 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T2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W,  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DWI,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  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MRA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)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：Baseline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, day6, day14</w:t>
      </w:r>
    </w:p>
    <w:p w:rsidR="00100BE5" w:rsidRPr="00100BE5" w:rsidRDefault="00100BE5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MRI以与医院预约日期为准，与指定日期可能会稍有偏差。考虑到动物的</w:t>
      </w: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lastRenderedPageBreak/>
        <w:t>耐受性，每只动物每周只能进行1次MRI（MRI麻醉后会影响评分）。MRI数据分析由委托方完成。</w:t>
      </w:r>
    </w:p>
    <w:p w:rsidR="00100BE5" w:rsidRPr="00100BE5" w:rsidRDefault="00D03F4B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>
        <w:rPr>
          <w:rFonts w:eastAsia="宋体"/>
          <w:lang w:eastAsia="zh-CN"/>
        </w:rPr>
        <w:t>3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神经功能缺损评分(</w:t>
      </w:r>
      <w:proofErr w:type="spellStart"/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Kito</w:t>
      </w:r>
      <w:proofErr w:type="spellEnd"/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,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 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2001</w:t>
      </w:r>
      <w:r w:rsidR="00100BE5" w:rsidRPr="00100BE5">
        <w:rPr>
          <w:rFonts w:asciiTheme="minorEastAsia" w:eastAsia="宋体" w:hAnsiTheme="minorEastAsia" w:cs="仿宋_GB2312"/>
        </w:rPr>
        <w:footnoteReference w:id="1"/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)：Baseline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, day3, day6, 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day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9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，day1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 xml:space="preserve">2, 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day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14, day28.</w:t>
      </w:r>
    </w:p>
    <w:p w:rsidR="00100BE5" w:rsidRPr="00100BE5" w:rsidRDefault="00D03F4B" w:rsidP="00B52949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>
        <w:rPr>
          <w:rFonts w:eastAsia="宋体"/>
          <w:lang w:eastAsia="zh-CN"/>
        </w:rPr>
        <w:t>4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其他检测参数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：</w:t>
      </w:r>
    </w:p>
    <w:p w:rsidR="00100BE5" w:rsidRPr="00D03F4B" w:rsidRDefault="00100BE5" w:rsidP="00100BE5">
      <w:pPr>
        <w:spacing w:line="480" w:lineRule="auto"/>
        <w:ind w:firstLineChars="200" w:firstLine="480"/>
        <w:rPr>
          <w:rFonts w:eastAsia="宋体"/>
          <w:color w:val="auto"/>
          <w:lang w:eastAsia="zh-CN"/>
        </w:rPr>
      </w:pPr>
      <w:r w:rsidRPr="00D03F4B">
        <w:rPr>
          <w:rFonts w:eastAsia="宋体"/>
          <w:color w:val="auto"/>
          <w:lang w:eastAsia="zh-CN"/>
        </w:rPr>
        <w:t>血液学：生化指标（</w:t>
      </w:r>
      <w:r w:rsidRPr="00D03F4B">
        <w:rPr>
          <w:rFonts w:eastAsia="宋体"/>
          <w:color w:val="auto"/>
          <w:lang w:eastAsia="zh-CN"/>
        </w:rPr>
        <w:t>ALT, AST, BUN, CRE, LDH, CEA, AFP</w:t>
      </w:r>
      <w:r w:rsidRPr="00D03F4B">
        <w:rPr>
          <w:rFonts w:eastAsia="宋体"/>
          <w:color w:val="auto"/>
          <w:lang w:eastAsia="zh-CN"/>
        </w:rPr>
        <w:t>）。</w:t>
      </w:r>
      <w:r w:rsidRPr="00D03F4B">
        <w:rPr>
          <w:rFonts w:eastAsia="宋体"/>
          <w:color w:val="auto"/>
          <w:lang w:eastAsia="zh-CN"/>
        </w:rPr>
        <w:t xml:space="preserve">Baseline(-7day), day28. </w:t>
      </w:r>
    </w:p>
    <w:p w:rsidR="00100BE5" w:rsidRPr="00100BE5" w:rsidRDefault="00100BE5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如需检测</w:t>
      </w:r>
      <w:r w:rsidRPr="00100BE5">
        <w:rPr>
          <w:rFonts w:asciiTheme="minorEastAsia" w:eastAsia="宋体" w:hAnsiTheme="minorEastAsia" w:cs="仿宋_GB2312"/>
          <w:color w:val="auto"/>
          <w:lang w:eastAsia="zh-CN"/>
        </w:rPr>
        <w:t>NSE</w:t>
      </w: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，委托方可购买试剂盒检测。</w:t>
      </w:r>
    </w:p>
    <w:p w:rsidR="00100BE5" w:rsidRPr="00100BE5" w:rsidRDefault="00100BE5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脑脊液：Baseline(-7day)、day7、day28</w:t>
      </w:r>
    </w:p>
    <w:p w:rsidR="00100BE5" w:rsidRPr="00100BE5" w:rsidRDefault="00100BE5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每次0.5ml,时间待定，指标尚未明确，由委托方完成，受托方负责按时间点采集脑脊液。</w:t>
      </w:r>
    </w:p>
    <w:p w:rsidR="00100BE5" w:rsidRPr="00100BE5" w:rsidRDefault="00100BE5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100BE5">
        <w:rPr>
          <w:rFonts w:asciiTheme="minorEastAsia" w:eastAsia="宋体" w:hAnsiTheme="minorEastAsia" w:cs="仿宋_GB2312"/>
          <w:color w:val="auto"/>
          <w:lang w:eastAsia="zh-CN"/>
        </w:rPr>
        <w:t>生理学：体重</w:t>
      </w: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。Baseline(-7day), day1, day7，day14, day21, day28.</w:t>
      </w:r>
    </w:p>
    <w:p w:rsidR="00100BE5" w:rsidRPr="00100BE5" w:rsidRDefault="00100BE5" w:rsidP="00FE1917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100BE5">
        <w:rPr>
          <w:rFonts w:asciiTheme="minorEastAsia" w:eastAsia="宋体" w:hAnsiTheme="minorEastAsia" w:cs="仿宋_GB2312"/>
          <w:color w:val="auto"/>
          <w:lang w:eastAsia="zh-CN"/>
        </w:rPr>
        <w:t>临床观察</w:t>
      </w:r>
      <w:r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：外观、精神状态、排泄物、摄食状况等。Baseline, 造模后每天进行。</w:t>
      </w:r>
    </w:p>
    <w:p w:rsidR="00100BE5" w:rsidRPr="00100BE5" w:rsidRDefault="00D03F4B" w:rsidP="00FE1917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>
        <w:rPr>
          <w:rFonts w:eastAsia="宋体"/>
          <w:lang w:eastAsia="zh-CN"/>
        </w:rPr>
        <w:t>5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安乐死取材：实验结束后，动物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安乐死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灌注取材，收集主要脏器（脑、肺、心脏、肝脏、肾脏、脾脏）称重、计算脏器系数，4%多聚甲醛固定保存。</w:t>
      </w:r>
    </w:p>
    <w:p w:rsidR="00100BE5" w:rsidRPr="00100BE5" w:rsidRDefault="00D03F4B" w:rsidP="00D03F4B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>
        <w:rPr>
          <w:rFonts w:eastAsia="宋体"/>
          <w:lang w:eastAsia="zh-CN"/>
        </w:rPr>
        <w:t>6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/>
          <w:color w:val="auto"/>
          <w:lang w:eastAsia="zh-CN"/>
        </w:rPr>
        <w:t>组织病理学检查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：HE染色（委托方完成或其他机构完成）</w:t>
      </w:r>
    </w:p>
    <w:p w:rsidR="00100BE5" w:rsidRPr="00100BE5" w:rsidRDefault="00D03F4B" w:rsidP="00100BE5">
      <w:pPr>
        <w:spacing w:line="480" w:lineRule="auto"/>
        <w:ind w:firstLineChars="200" w:firstLine="480"/>
        <w:rPr>
          <w:rFonts w:asciiTheme="minorEastAsia" w:eastAsia="宋体" w:hAnsiTheme="minorEastAsia" w:cs="仿宋_GB2312"/>
          <w:color w:val="auto"/>
          <w:lang w:eastAsia="zh-CN"/>
        </w:rPr>
      </w:pPr>
      <w:r w:rsidRPr="0023719F">
        <w:rPr>
          <w:rFonts w:eastAsia="宋体" w:hint="eastAsia"/>
          <w:lang w:eastAsia="zh-CN"/>
        </w:rPr>
        <w:t>（</w:t>
      </w:r>
      <w:r>
        <w:rPr>
          <w:rFonts w:eastAsia="宋体"/>
          <w:lang w:eastAsia="zh-CN"/>
        </w:rPr>
        <w:t>7</w:t>
      </w:r>
      <w:r w:rsidRPr="0023719F">
        <w:rPr>
          <w:rFonts w:eastAsia="宋体" w:hint="eastAsia"/>
          <w:lang w:eastAsia="zh-CN"/>
        </w:rPr>
        <w:t>）</w:t>
      </w:r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细胞形态：大脑损伤区域细胞形态学检测：尼氏染色，DAB染色法免疫组化（</w:t>
      </w:r>
      <w:proofErr w:type="spellStart"/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NeuN</w:t>
      </w:r>
      <w:proofErr w:type="spellEnd"/>
      <w:r w:rsidR="00100BE5" w:rsidRPr="00100BE5">
        <w:rPr>
          <w:rFonts w:asciiTheme="minorEastAsia" w:eastAsia="宋体" w:hAnsiTheme="minorEastAsia" w:cs="仿宋_GB2312" w:hint="eastAsia"/>
          <w:color w:val="auto"/>
          <w:lang w:eastAsia="zh-CN"/>
        </w:rPr>
        <w:t>、GFAP、Iba1等）（委托方或其他机构完成）</w:t>
      </w:r>
    </w:p>
    <w:sectPr w:rsidR="00100BE5" w:rsidRPr="00100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817" w:rsidRDefault="00B62817" w:rsidP="0023719F">
      <w:r>
        <w:separator/>
      </w:r>
    </w:p>
  </w:endnote>
  <w:endnote w:type="continuationSeparator" w:id="0">
    <w:p w:rsidR="00B62817" w:rsidRDefault="00B62817" w:rsidP="002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817" w:rsidRDefault="00B62817" w:rsidP="0023719F">
      <w:r>
        <w:separator/>
      </w:r>
    </w:p>
  </w:footnote>
  <w:footnote w:type="continuationSeparator" w:id="0">
    <w:p w:rsidR="00B62817" w:rsidRDefault="00B62817" w:rsidP="0023719F">
      <w:r>
        <w:continuationSeparator/>
      </w:r>
    </w:p>
  </w:footnote>
  <w:footnote w:id="1">
    <w:p w:rsidR="00100BE5" w:rsidRDefault="00100BE5" w:rsidP="00100BE5">
      <w:pPr>
        <w:pStyle w:val="a7"/>
        <w:rPr>
          <w:sz w:val="21"/>
          <w:szCs w:val="32"/>
        </w:rPr>
      </w:pPr>
    </w:p>
    <w:p w:rsidR="00100BE5" w:rsidRDefault="00100BE5" w:rsidP="00100BE5">
      <w:pPr>
        <w:pStyle w:val="a7"/>
        <w:rPr>
          <w:sz w:val="21"/>
          <w:szCs w:val="3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FB4F9"/>
    <w:multiLevelType w:val="multilevel"/>
    <w:tmpl w:val="3B7FB4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29"/>
    <w:rsid w:val="000F5F85"/>
    <w:rsid w:val="00100BE5"/>
    <w:rsid w:val="001B1BA7"/>
    <w:rsid w:val="0023719F"/>
    <w:rsid w:val="003B6D8E"/>
    <w:rsid w:val="006008DA"/>
    <w:rsid w:val="00893F29"/>
    <w:rsid w:val="00897294"/>
    <w:rsid w:val="009471EB"/>
    <w:rsid w:val="00B52949"/>
    <w:rsid w:val="00B62817"/>
    <w:rsid w:val="00BD349C"/>
    <w:rsid w:val="00C16355"/>
    <w:rsid w:val="00D03F4B"/>
    <w:rsid w:val="00F16DAA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FE541"/>
  <w15:chartTrackingRefBased/>
  <w15:docId w15:val="{D6A52A9B-312E-4F39-950A-2159D457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19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1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19F"/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rsid w:val="00100BE5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rsid w:val="00100BE5"/>
    <w:rPr>
      <w:rFonts w:ascii="Times New Roman" w:eastAsia="Times New Roman" w:hAnsi="Times New Roman" w:cs="Times New Roman"/>
      <w:color w:val="000000"/>
      <w:kern w:val="0"/>
      <w:sz w:val="18"/>
      <w:szCs w:val="24"/>
      <w:lang w:eastAsia="en-US" w:bidi="en-US"/>
    </w:rPr>
  </w:style>
  <w:style w:type="character" w:styleId="a9">
    <w:name w:val="footnote reference"/>
    <w:basedOn w:val="a0"/>
    <w:uiPriority w:val="99"/>
    <w:unhideWhenUsed/>
    <w:qFormat/>
    <w:rsid w:val="00100B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NTKO</cp:lastModifiedBy>
  <cp:revision>14</cp:revision>
  <dcterms:created xsi:type="dcterms:W3CDTF">2021-12-15T05:40:00Z</dcterms:created>
  <dcterms:modified xsi:type="dcterms:W3CDTF">2021-12-20T00:33:00Z</dcterms:modified>
</cp:coreProperties>
</file>