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BEE2" w14:textId="10E0272B" w:rsidR="00361A0C" w:rsidRDefault="00C21F12" w:rsidP="00C21F12">
      <w:pPr>
        <w:ind w:leftChars="50" w:left="105"/>
        <w:jc w:val="center"/>
        <w:rPr>
          <w:rFonts w:ascii="黑体" w:eastAsia="黑体" w:hAnsi="黑体"/>
          <w:b/>
          <w:sz w:val="32"/>
          <w:szCs w:val="32"/>
        </w:rPr>
      </w:pPr>
      <w:r w:rsidRPr="00C21F12">
        <w:rPr>
          <w:rFonts w:ascii="黑体" w:eastAsia="黑体" w:hAnsi="黑体" w:hint="eastAsia"/>
          <w:b/>
          <w:sz w:val="32"/>
          <w:szCs w:val="32"/>
        </w:rPr>
        <w:t>锁相放大器</w:t>
      </w:r>
    </w:p>
    <w:p w14:paraId="024B49BB" w14:textId="77777777" w:rsidR="00C21F12" w:rsidRPr="00C21F12" w:rsidRDefault="00C21F12" w:rsidP="00C21F12">
      <w:pPr>
        <w:ind w:leftChars="50" w:left="105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3D90DCDE" w14:textId="61FB5044" w:rsidR="00C21F12" w:rsidRPr="00C21F12" w:rsidRDefault="00C21F12" w:rsidP="00C21F12">
      <w:pPr>
        <w:pStyle w:val="a7"/>
        <w:spacing w:line="360" w:lineRule="auto"/>
        <w:ind w:left="105" w:firstLineChars="0" w:firstLine="0"/>
        <w:rPr>
          <w:rFonts w:ascii="黑体" w:eastAsia="黑体" w:hAnsi="黑体" w:cs="Arial"/>
          <w:sz w:val="24"/>
          <w:szCs w:val="24"/>
        </w:rPr>
      </w:pPr>
      <w:r w:rsidRPr="00C21F12">
        <w:rPr>
          <w:rFonts w:ascii="黑体" w:eastAsia="黑体" w:hAnsi="黑体" w:cs="Arial" w:hint="eastAsia"/>
          <w:sz w:val="24"/>
          <w:szCs w:val="24"/>
        </w:rPr>
        <w:t>1</w:t>
      </w:r>
      <w:r w:rsidRPr="00C21F12">
        <w:rPr>
          <w:rFonts w:ascii="黑体" w:eastAsia="黑体" w:hAnsi="黑体" w:cs="Arial"/>
          <w:sz w:val="24"/>
          <w:szCs w:val="24"/>
        </w:rPr>
        <w:t>.</w:t>
      </w:r>
      <w:r w:rsidRPr="00C21F12">
        <w:rPr>
          <w:rFonts w:ascii="黑体" w:eastAsia="黑体" w:hAnsi="黑体" w:cs="Arial"/>
          <w:sz w:val="24"/>
          <w:szCs w:val="24"/>
        </w:rPr>
        <w:t xml:space="preserve">信号输入通道：输入端无需跟踪带通滤波器滤波，无附加噪声、幅度震荡和相位误差以及漂移具有6 </w:t>
      </w:r>
      <w:proofErr w:type="spellStart"/>
      <w:r w:rsidRPr="00C21F12">
        <w:rPr>
          <w:rFonts w:ascii="黑体" w:eastAsia="黑体" w:hAnsi="黑体" w:cs="Arial"/>
          <w:sz w:val="24"/>
          <w:szCs w:val="24"/>
        </w:rPr>
        <w:t>nV</w:t>
      </w:r>
      <w:proofErr w:type="spellEnd"/>
      <w:r w:rsidRPr="00C21F12">
        <w:rPr>
          <w:rFonts w:ascii="黑体" w:eastAsia="黑体" w:hAnsi="黑体" w:cs="Arial"/>
          <w:sz w:val="24"/>
          <w:szCs w:val="24"/>
        </w:rPr>
        <w:t xml:space="preserve">/Hz输入噪声的差分输入。输入阻抗10ΩΩ，最小满量程输入电压灵敏度为2 </w:t>
      </w:r>
      <w:proofErr w:type="spellStart"/>
      <w:r w:rsidRPr="00C21F12">
        <w:rPr>
          <w:rFonts w:ascii="黑体" w:eastAsia="黑体" w:hAnsi="黑体" w:cs="Arial"/>
          <w:sz w:val="24"/>
          <w:szCs w:val="24"/>
        </w:rPr>
        <w:t>nV</w:t>
      </w:r>
      <w:proofErr w:type="spellEnd"/>
      <w:r w:rsidRPr="00C21F12">
        <w:rPr>
          <w:rFonts w:ascii="黑体" w:eastAsia="黑体" w:hAnsi="黑体" w:cs="Arial"/>
          <w:sz w:val="24"/>
          <w:szCs w:val="24"/>
        </w:rPr>
        <w:t>。输入可配置为具有可选择电流增益为10的电流测量和10V/A提供线路滤波器（50 Hz或60 Hz）和2通道线路滤波器（100 Hz或120 Hz）</w:t>
      </w:r>
    </w:p>
    <w:p w14:paraId="40C1CFF7" w14:textId="09D37057" w:rsidR="00C21F12" w:rsidRPr="00C21F12" w:rsidRDefault="00C21F12" w:rsidP="00C21F12">
      <w:pPr>
        <w:pStyle w:val="a7"/>
        <w:spacing w:line="360" w:lineRule="auto"/>
        <w:ind w:left="105" w:firstLineChars="0" w:firstLine="0"/>
        <w:rPr>
          <w:rFonts w:ascii="黑体" w:eastAsia="黑体" w:hAnsi="黑体" w:cs="Arial"/>
          <w:sz w:val="24"/>
          <w:szCs w:val="24"/>
        </w:rPr>
      </w:pPr>
      <w:r w:rsidRPr="00C21F12">
        <w:rPr>
          <w:rFonts w:ascii="黑体" w:eastAsia="黑体" w:hAnsi="黑体" w:cs="Arial" w:hint="eastAsia"/>
          <w:color w:val="000000"/>
          <w:sz w:val="24"/>
          <w:szCs w:val="24"/>
        </w:rPr>
        <w:t>2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>.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>输入通道数字精度：精确的18bit数字/模拟转换器，无模拟解调器（混频器）、低通滤波器和DC放大器模拟电路， 可将输入信号在256千赫处数字化。采用A/D转换器与高速DSP芯片相结合，由DSP芯片数字合成基准振荡器，提供</w:t>
      </w:r>
      <w:r w:rsidRPr="00C21F12">
        <w:rPr>
          <w:rFonts w:ascii="黑体" w:eastAsia="黑体" w:hAnsi="黑体" w:cs="宋体" w:hint="eastAsia"/>
          <w:color w:val="000000"/>
          <w:sz w:val="24"/>
          <w:szCs w:val="24"/>
        </w:rPr>
        <w:t>≦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 xml:space="preserve">80 </w:t>
      </w:r>
      <w:proofErr w:type="spellStart"/>
      <w:r w:rsidRPr="00C21F12">
        <w:rPr>
          <w:rFonts w:ascii="黑体" w:eastAsia="黑体" w:hAnsi="黑体" w:cs="Arial"/>
          <w:color w:val="000000"/>
          <w:sz w:val="24"/>
          <w:szCs w:val="24"/>
        </w:rPr>
        <w:t>dBc</w:t>
      </w:r>
      <w:proofErr w:type="spellEnd"/>
      <w:r w:rsidRPr="00C21F12">
        <w:rPr>
          <w:rFonts w:ascii="黑体" w:eastAsia="黑体" w:hAnsi="黑体" w:cs="Arial"/>
          <w:color w:val="000000"/>
          <w:sz w:val="24"/>
          <w:szCs w:val="24"/>
        </w:rPr>
        <w:t>失真、100 MHz频率分辨率和2 mV幅度分辨率的信号源</w:t>
      </w:r>
    </w:p>
    <w:p w14:paraId="441D6AEA" w14:textId="259AE245" w:rsidR="00C21F12" w:rsidRPr="00C21F12" w:rsidRDefault="00C21F12" w:rsidP="00C21F12">
      <w:pPr>
        <w:pStyle w:val="a7"/>
        <w:spacing w:line="360" w:lineRule="auto"/>
        <w:ind w:left="105" w:firstLineChars="0" w:firstLine="0"/>
        <w:rPr>
          <w:rFonts w:ascii="黑体" w:eastAsia="黑体" w:hAnsi="黑体" w:cs="Arial"/>
          <w:sz w:val="24"/>
          <w:szCs w:val="24"/>
        </w:rPr>
      </w:pPr>
      <w:r w:rsidRPr="00C21F12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3</w:t>
      </w:r>
      <w:r w:rsidRPr="00C21F12">
        <w:rPr>
          <w:rFonts w:ascii="黑体" w:eastAsia="黑体" w:hAnsi="黑体" w:cs="Arial"/>
          <w:color w:val="000000"/>
          <w:kern w:val="0"/>
          <w:sz w:val="24"/>
          <w:szCs w:val="24"/>
        </w:rPr>
        <w:t>.</w:t>
      </w:r>
      <w:r w:rsidRPr="00C21F12">
        <w:rPr>
          <w:rFonts w:ascii="黑体" w:eastAsia="黑体" w:hAnsi="黑体" w:cs="Arial"/>
          <w:color w:val="000000"/>
          <w:kern w:val="0"/>
          <w:sz w:val="24"/>
          <w:szCs w:val="24"/>
        </w:rPr>
        <w:t>参考信号通道：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>参考源可以引入外部的正弦波或方波，或自己的数字合成参考源。且内部参考源由输入相乘的相同数字信号合成的，无参考相位噪声。内部基准可以在固定频率下工作，或者可以在1 MHz至102.4 kHz的整个工作范围内线性或对数扫描。谐波检测可以在参考频率的任何整数谐波上进行。</w:t>
      </w:r>
    </w:p>
    <w:p w14:paraId="61F343C2" w14:textId="5FB49916" w:rsidR="00C21F12" w:rsidRPr="00C21F12" w:rsidRDefault="00C21F12" w:rsidP="00C21F12">
      <w:pPr>
        <w:pStyle w:val="a7"/>
        <w:spacing w:line="360" w:lineRule="auto"/>
        <w:ind w:left="105" w:firstLineChars="0" w:firstLine="0"/>
        <w:rPr>
          <w:rFonts w:ascii="黑体" w:eastAsia="黑体" w:hAnsi="黑体" w:cs="Arial"/>
          <w:color w:val="000000"/>
          <w:sz w:val="24"/>
          <w:szCs w:val="24"/>
        </w:rPr>
      </w:pPr>
      <w:r w:rsidRPr="00C21F12">
        <w:rPr>
          <w:rFonts w:ascii="黑体" w:eastAsia="黑体" w:hAnsi="黑体" w:cs="Arial" w:hint="eastAsia"/>
          <w:color w:val="000000"/>
          <w:sz w:val="24"/>
          <w:szCs w:val="24"/>
        </w:rPr>
        <w:t>4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>.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>放大器带有</w:t>
      </w:r>
      <w:r w:rsidRPr="00C21F12">
        <w:rPr>
          <w:rFonts w:ascii="黑体" w:eastAsia="黑体" w:hAnsi="黑体" w:cs="Arial" w:hint="eastAsia"/>
          <w:color w:val="000000"/>
          <w:sz w:val="24"/>
          <w:szCs w:val="24"/>
        </w:rPr>
        <w:t>≧</w:t>
      </w:r>
      <w:r w:rsidRPr="00C21F12">
        <w:rPr>
          <w:rFonts w:ascii="黑体" w:eastAsia="黑体" w:hAnsi="黑体" w:cs="Arial"/>
          <w:color w:val="000000"/>
          <w:sz w:val="24"/>
          <w:szCs w:val="24"/>
        </w:rPr>
        <w:t>6.8“显示器， 获得数据后提供了多种数据简化选项显示，如</w:t>
      </w:r>
      <w:proofErr w:type="spellStart"/>
      <w:r w:rsidRPr="00C21F12">
        <w:rPr>
          <w:rFonts w:ascii="黑体" w:eastAsia="黑体" w:hAnsi="黑体" w:cs="Arial"/>
          <w:color w:val="000000"/>
          <w:sz w:val="24"/>
          <w:szCs w:val="24"/>
        </w:rPr>
        <w:t>Savitsky</w:t>
      </w:r>
      <w:proofErr w:type="spellEnd"/>
      <w:r w:rsidRPr="00C21F12">
        <w:rPr>
          <w:rFonts w:ascii="黑体" w:eastAsia="黑体" w:hAnsi="黑体" w:cs="Arial"/>
          <w:color w:val="000000"/>
          <w:sz w:val="24"/>
          <w:szCs w:val="24"/>
        </w:rPr>
        <w:t xml:space="preserve"> </w:t>
      </w:r>
      <w:proofErr w:type="spellStart"/>
      <w:r w:rsidRPr="00C21F12">
        <w:rPr>
          <w:rFonts w:ascii="黑体" w:eastAsia="黑体" w:hAnsi="黑体" w:cs="Arial"/>
          <w:color w:val="000000"/>
          <w:sz w:val="24"/>
          <w:szCs w:val="24"/>
        </w:rPr>
        <w:t>Golay</w:t>
      </w:r>
      <w:proofErr w:type="spellEnd"/>
      <w:r w:rsidRPr="00C21F12">
        <w:rPr>
          <w:rFonts w:ascii="黑体" w:eastAsia="黑体" w:hAnsi="黑体" w:cs="Arial"/>
          <w:color w:val="000000"/>
          <w:sz w:val="24"/>
          <w:szCs w:val="24"/>
        </w:rPr>
        <w:t>平滑、曲线拟合和统计分析</w:t>
      </w:r>
    </w:p>
    <w:p w14:paraId="34169AF4" w14:textId="77777777" w:rsidR="00C21F12" w:rsidRPr="00C21F12" w:rsidRDefault="00C21F12" w:rsidP="00C21F12">
      <w:pPr>
        <w:spacing w:line="360" w:lineRule="auto"/>
        <w:ind w:leftChars="50" w:left="105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C21F12">
        <w:rPr>
          <w:rFonts w:ascii="黑体" w:eastAsia="黑体" w:hAnsi="黑体"/>
          <w:b/>
          <w:sz w:val="28"/>
          <w:szCs w:val="28"/>
        </w:rPr>
        <w:t>技术服务要求</w:t>
      </w:r>
    </w:p>
    <w:bookmarkEnd w:id="0"/>
    <w:p w14:paraId="624362EC" w14:textId="77777777" w:rsidR="00C21F12" w:rsidRPr="00C21F12" w:rsidRDefault="00C21F12" w:rsidP="00C21F12">
      <w:pPr>
        <w:spacing w:line="360" w:lineRule="auto"/>
        <w:ind w:leftChars="50" w:left="105"/>
        <w:rPr>
          <w:rFonts w:ascii="黑体" w:eastAsia="黑体" w:hAnsi="黑体"/>
          <w:sz w:val="24"/>
          <w:szCs w:val="24"/>
        </w:rPr>
      </w:pPr>
      <w:r w:rsidRPr="00C21F12">
        <w:rPr>
          <w:rFonts w:ascii="黑体" w:eastAsia="黑体" w:hAnsi="黑体"/>
          <w:sz w:val="24"/>
          <w:szCs w:val="24"/>
        </w:rPr>
        <w:t>1 设备安装调试: 在买方指定的地点完成安装调试，并配合买方进行测试验收。</w:t>
      </w:r>
    </w:p>
    <w:p w14:paraId="4E36E13C" w14:textId="77777777" w:rsidR="00C21F12" w:rsidRPr="00C21F12" w:rsidRDefault="00C21F12" w:rsidP="00C21F12">
      <w:pPr>
        <w:spacing w:line="360" w:lineRule="auto"/>
        <w:ind w:leftChars="50" w:left="105"/>
        <w:rPr>
          <w:rFonts w:ascii="黑体" w:eastAsia="黑体" w:hAnsi="黑体"/>
          <w:sz w:val="24"/>
          <w:szCs w:val="24"/>
        </w:rPr>
      </w:pPr>
      <w:r w:rsidRPr="00C21F12">
        <w:rPr>
          <w:rFonts w:ascii="黑体" w:eastAsia="黑体" w:hAnsi="黑体"/>
          <w:sz w:val="24"/>
          <w:szCs w:val="24"/>
        </w:rPr>
        <w:t>2 质保期为验收合格之日起保修12个月，终身维修。</w:t>
      </w:r>
    </w:p>
    <w:p w14:paraId="2A6B8B0C" w14:textId="77777777" w:rsidR="00C21F12" w:rsidRPr="00C21F12" w:rsidRDefault="00C21F12" w:rsidP="00C21F12">
      <w:pPr>
        <w:spacing w:line="360" w:lineRule="auto"/>
        <w:ind w:leftChars="50" w:left="105"/>
        <w:rPr>
          <w:rFonts w:ascii="黑体" w:eastAsia="黑体" w:hAnsi="黑体"/>
          <w:sz w:val="24"/>
          <w:szCs w:val="24"/>
        </w:rPr>
      </w:pPr>
      <w:r w:rsidRPr="00C21F12">
        <w:rPr>
          <w:rFonts w:ascii="黑体" w:eastAsia="黑体" w:hAnsi="黑体"/>
          <w:sz w:val="24"/>
          <w:szCs w:val="24"/>
        </w:rPr>
        <w:t>3 维修响应时间: 接到维修通知后，1个工作日内做出响应，3个工作日内到场排除故障。</w:t>
      </w:r>
    </w:p>
    <w:p w14:paraId="7AC21370" w14:textId="77777777" w:rsidR="00C21F12" w:rsidRPr="00C21F12" w:rsidRDefault="00C21F12" w:rsidP="00C21F12">
      <w:pPr>
        <w:spacing w:line="360" w:lineRule="auto"/>
        <w:ind w:leftChars="50" w:left="105"/>
        <w:rPr>
          <w:rFonts w:ascii="黑体" w:eastAsia="黑体" w:hAnsi="黑体"/>
          <w:sz w:val="24"/>
          <w:szCs w:val="24"/>
        </w:rPr>
      </w:pPr>
      <w:r w:rsidRPr="00C21F12">
        <w:rPr>
          <w:rFonts w:ascii="黑体" w:eastAsia="黑体" w:hAnsi="黑体"/>
          <w:sz w:val="24"/>
          <w:szCs w:val="24"/>
        </w:rPr>
        <w:t>4 交货地点：用户指定位置。</w:t>
      </w:r>
    </w:p>
    <w:p w14:paraId="0270A5DA" w14:textId="77777777" w:rsidR="00C21F12" w:rsidRPr="00C21F12" w:rsidRDefault="00C21F12" w:rsidP="00C21F12">
      <w:pPr>
        <w:spacing w:line="360" w:lineRule="auto"/>
        <w:ind w:leftChars="50" w:left="105"/>
        <w:rPr>
          <w:rFonts w:ascii="黑体" w:eastAsia="黑体" w:hAnsi="黑体"/>
          <w:sz w:val="24"/>
          <w:szCs w:val="24"/>
        </w:rPr>
      </w:pPr>
    </w:p>
    <w:p w14:paraId="06992E46" w14:textId="77777777" w:rsidR="00C21F12" w:rsidRPr="00C21F12" w:rsidRDefault="00C21F12" w:rsidP="00C21F12">
      <w:pPr>
        <w:ind w:leftChars="50" w:left="105"/>
        <w:rPr>
          <w:rFonts w:ascii="黑体" w:eastAsia="黑体" w:hAnsi="黑体" w:hint="eastAsia"/>
          <w:sz w:val="24"/>
          <w:szCs w:val="24"/>
        </w:rPr>
      </w:pPr>
    </w:p>
    <w:sectPr w:rsidR="00C21F12" w:rsidRPr="00C21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605EE" w14:textId="77777777" w:rsidR="006135DF" w:rsidRDefault="006135DF" w:rsidP="00C21F12">
      <w:r>
        <w:separator/>
      </w:r>
    </w:p>
  </w:endnote>
  <w:endnote w:type="continuationSeparator" w:id="0">
    <w:p w14:paraId="3C077EF9" w14:textId="77777777" w:rsidR="006135DF" w:rsidRDefault="006135DF" w:rsidP="00C2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35246" w14:textId="77777777" w:rsidR="006135DF" w:rsidRDefault="006135DF" w:rsidP="00C21F12">
      <w:r>
        <w:separator/>
      </w:r>
    </w:p>
  </w:footnote>
  <w:footnote w:type="continuationSeparator" w:id="0">
    <w:p w14:paraId="4B2DD3E4" w14:textId="77777777" w:rsidR="006135DF" w:rsidRDefault="006135DF" w:rsidP="00C2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1DCD"/>
    <w:multiLevelType w:val="hybridMultilevel"/>
    <w:tmpl w:val="71A67246"/>
    <w:lvl w:ilvl="0" w:tplc="BDC265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A6A2F"/>
    <w:rsid w:val="00361A0C"/>
    <w:rsid w:val="006135DF"/>
    <w:rsid w:val="009A6A2F"/>
    <w:rsid w:val="00C2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5FF70"/>
  <w15:chartTrackingRefBased/>
  <w15:docId w15:val="{CD06BA6D-594E-411C-8CFD-CD103300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F12"/>
    <w:rPr>
      <w:sz w:val="18"/>
      <w:szCs w:val="18"/>
    </w:rPr>
  </w:style>
  <w:style w:type="paragraph" w:styleId="a7">
    <w:name w:val="List Paragraph"/>
    <w:basedOn w:val="a"/>
    <w:uiPriority w:val="34"/>
    <w:qFormat/>
    <w:rsid w:val="00C21F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2019-08-05T08:23:00Z</dcterms:created>
  <dcterms:modified xsi:type="dcterms:W3CDTF">2019-08-05T08:24:00Z</dcterms:modified>
</cp:coreProperties>
</file>