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1E39B" w14:textId="1DDE9975" w:rsidR="00361A0C" w:rsidRPr="00FF12D9" w:rsidRDefault="00FF12D9" w:rsidP="00FF12D9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FF12D9">
        <w:rPr>
          <w:rFonts w:ascii="黑体" w:eastAsia="黑体" w:hAnsi="黑体" w:hint="eastAsia"/>
          <w:b/>
          <w:sz w:val="32"/>
          <w:szCs w:val="32"/>
        </w:rPr>
        <w:t>膜片钳放大器</w:t>
      </w:r>
    </w:p>
    <w:p w14:paraId="6531ED44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 w:hint="eastAsia"/>
          <w:sz w:val="24"/>
          <w:szCs w:val="24"/>
        </w:rPr>
        <w:t>1.所有的补偿操作</w:t>
      </w:r>
      <w:bookmarkStart w:id="0" w:name="_GoBack"/>
      <w:bookmarkEnd w:id="0"/>
      <w:r w:rsidRPr="00FF12D9">
        <w:rPr>
          <w:rFonts w:ascii="黑体" w:eastAsia="黑体" w:hAnsi="黑体" w:hint="eastAsia"/>
          <w:sz w:val="24"/>
          <w:szCs w:val="24"/>
        </w:rPr>
        <w:t>(液结电位，快慢电容，串联电阻等)均由软件/手动点击方便快捷自动完成。具有</w:t>
      </w:r>
      <w:proofErr w:type="spellStart"/>
      <w:r w:rsidRPr="00FF12D9">
        <w:rPr>
          <w:rFonts w:ascii="黑体" w:eastAsia="黑体" w:hAnsi="黑体" w:hint="eastAsia"/>
          <w:sz w:val="24"/>
          <w:szCs w:val="24"/>
        </w:rPr>
        <w:t>LockIn</w:t>
      </w:r>
      <w:proofErr w:type="spellEnd"/>
      <w:r w:rsidRPr="00FF12D9">
        <w:rPr>
          <w:rFonts w:ascii="黑体" w:eastAsia="黑体" w:hAnsi="黑体" w:hint="eastAsia"/>
          <w:sz w:val="24"/>
          <w:szCs w:val="24"/>
        </w:rPr>
        <w:t>放大器，可进行膜电容检测，进行与膜面积有关的研究，例如胞吞胞吐、细胞分泌等。通过软件Extension，可进行离子浓度荧光检测，实现光电联合检测的集成。</w:t>
      </w:r>
    </w:p>
    <w:p w14:paraId="4768323A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 w:hint="eastAsia"/>
          <w:sz w:val="24"/>
          <w:szCs w:val="24"/>
        </w:rPr>
        <w:t>2.探头反馈电阻有三种，分别为50GΩ、500MΩ、5MΩ。</w:t>
      </w:r>
    </w:p>
    <w:p w14:paraId="035BC3D3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 w:hint="eastAsia"/>
          <w:sz w:val="24"/>
          <w:szCs w:val="24"/>
        </w:rPr>
        <w:t xml:space="preserve">3.最大测量电流：±200 </w:t>
      </w:r>
      <w:proofErr w:type="spellStart"/>
      <w:r w:rsidRPr="00FF12D9">
        <w:rPr>
          <w:rFonts w:ascii="黑体" w:eastAsia="黑体" w:hAnsi="黑体" w:hint="eastAsia"/>
          <w:sz w:val="24"/>
          <w:szCs w:val="24"/>
        </w:rPr>
        <w:t>pA</w:t>
      </w:r>
      <w:proofErr w:type="spellEnd"/>
      <w:r w:rsidRPr="00FF12D9">
        <w:rPr>
          <w:rFonts w:ascii="黑体" w:eastAsia="黑体" w:hAnsi="黑体" w:hint="eastAsia"/>
          <w:sz w:val="24"/>
          <w:szCs w:val="24"/>
        </w:rPr>
        <w:t xml:space="preserve"> (50GΩ)、±20nA (500MΩ)、±2μA (5MΩ)。</w:t>
      </w:r>
    </w:p>
    <w:p w14:paraId="72742694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 w:hint="eastAsia"/>
          <w:sz w:val="24"/>
          <w:szCs w:val="24"/>
        </w:rPr>
        <w:t>4. C-fast: 0－15pF补偿范围，0－8μs时间常数；C-slow: 0－1000pF。</w:t>
      </w:r>
    </w:p>
    <w:p w14:paraId="6CF8ED0E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 w:hint="eastAsia"/>
          <w:sz w:val="24"/>
          <w:szCs w:val="24"/>
        </w:rPr>
        <w:t>5.液接电位、快慢电容的补偿均由软件方便快捷自动完成。</w:t>
      </w:r>
    </w:p>
    <w:p w14:paraId="24AB2481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 w:hint="eastAsia"/>
          <w:sz w:val="24"/>
          <w:szCs w:val="24"/>
        </w:rPr>
        <w:t>6.具有</w:t>
      </w:r>
      <w:proofErr w:type="spellStart"/>
      <w:r w:rsidRPr="00FF12D9">
        <w:rPr>
          <w:rFonts w:ascii="黑体" w:eastAsia="黑体" w:hAnsi="黑体" w:hint="eastAsia"/>
          <w:sz w:val="24"/>
          <w:szCs w:val="24"/>
        </w:rPr>
        <w:t>LockIn</w:t>
      </w:r>
      <w:proofErr w:type="spellEnd"/>
      <w:r w:rsidRPr="00FF12D9">
        <w:rPr>
          <w:rFonts w:ascii="黑体" w:eastAsia="黑体" w:hAnsi="黑体" w:hint="eastAsia"/>
          <w:sz w:val="24"/>
          <w:szCs w:val="24"/>
        </w:rPr>
        <w:t>放大器，可进行膜电容检测，进行与膜面积有关的研究，例如胞吞胞吐、细胞分泌等。</w:t>
      </w:r>
    </w:p>
    <w:p w14:paraId="54A42A6D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 w:hint="eastAsia"/>
          <w:sz w:val="24"/>
          <w:szCs w:val="24"/>
        </w:rPr>
        <w:t>7.通过软件Extension，可进行离子浓度荧光检测，实现光电联合检测的集成。</w:t>
      </w:r>
    </w:p>
    <w:p w14:paraId="38FC6EF7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</w:p>
    <w:p w14:paraId="27139CF1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FF12D9">
        <w:rPr>
          <w:rFonts w:ascii="黑体" w:eastAsia="黑体" w:hAnsi="黑体"/>
          <w:b/>
          <w:sz w:val="24"/>
          <w:szCs w:val="24"/>
        </w:rPr>
        <w:t>技术服务要求</w:t>
      </w:r>
    </w:p>
    <w:p w14:paraId="36788B6A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/>
          <w:sz w:val="24"/>
          <w:szCs w:val="24"/>
        </w:rPr>
        <w:t>1 设备安装调试: 在买方指定的地点完成安装调试，并配合买方进行测试验收。</w:t>
      </w:r>
    </w:p>
    <w:p w14:paraId="49892E62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/>
          <w:sz w:val="24"/>
          <w:szCs w:val="24"/>
        </w:rPr>
        <w:t>2 质保期为验收合格之日起保修12个月，终身维修。</w:t>
      </w:r>
    </w:p>
    <w:p w14:paraId="2EC54D61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/>
          <w:sz w:val="24"/>
          <w:szCs w:val="24"/>
        </w:rPr>
        <w:t>3 维修响应时间: 接到维修通知后，1个工作日内做出响应，3个工作日内到场排除故障。</w:t>
      </w:r>
    </w:p>
    <w:p w14:paraId="62364BAB" w14:textId="77777777" w:rsidR="00FF12D9" w:rsidRPr="00FF12D9" w:rsidRDefault="00FF12D9" w:rsidP="00FF12D9">
      <w:pPr>
        <w:spacing w:line="360" w:lineRule="auto"/>
        <w:rPr>
          <w:rFonts w:ascii="黑体" w:eastAsia="黑体" w:hAnsi="黑体"/>
          <w:sz w:val="24"/>
          <w:szCs w:val="24"/>
        </w:rPr>
      </w:pPr>
      <w:r w:rsidRPr="00FF12D9">
        <w:rPr>
          <w:rFonts w:ascii="黑体" w:eastAsia="黑体" w:hAnsi="黑体"/>
          <w:sz w:val="24"/>
          <w:szCs w:val="24"/>
        </w:rPr>
        <w:t>4 交货地点：用户指定位置。</w:t>
      </w:r>
    </w:p>
    <w:p w14:paraId="7FB1DB2B" w14:textId="77777777" w:rsidR="00FF12D9" w:rsidRPr="00FF12D9" w:rsidRDefault="00FF12D9" w:rsidP="00FF12D9">
      <w:pPr>
        <w:spacing w:line="360" w:lineRule="auto"/>
        <w:rPr>
          <w:rFonts w:ascii="黑体" w:eastAsia="黑体" w:hAnsi="黑体" w:hint="eastAsia"/>
          <w:sz w:val="24"/>
          <w:szCs w:val="24"/>
        </w:rPr>
      </w:pPr>
    </w:p>
    <w:sectPr w:rsidR="00FF12D9" w:rsidRPr="00FF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EF8" w14:textId="77777777" w:rsidR="00AA65E9" w:rsidRDefault="00AA65E9" w:rsidP="00FF12D9">
      <w:r>
        <w:separator/>
      </w:r>
    </w:p>
  </w:endnote>
  <w:endnote w:type="continuationSeparator" w:id="0">
    <w:p w14:paraId="543DE306" w14:textId="77777777" w:rsidR="00AA65E9" w:rsidRDefault="00AA65E9" w:rsidP="00FF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D53C" w14:textId="77777777" w:rsidR="00AA65E9" w:rsidRDefault="00AA65E9" w:rsidP="00FF12D9">
      <w:r>
        <w:separator/>
      </w:r>
    </w:p>
  </w:footnote>
  <w:footnote w:type="continuationSeparator" w:id="0">
    <w:p w14:paraId="1ACB1AB7" w14:textId="77777777" w:rsidR="00AA65E9" w:rsidRDefault="00AA65E9" w:rsidP="00FF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4A3C"/>
    <w:rsid w:val="00361A0C"/>
    <w:rsid w:val="00654A3C"/>
    <w:rsid w:val="00AA65E9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39D18"/>
  <w15:chartTrackingRefBased/>
  <w15:docId w15:val="{900EB160-0963-4B52-8C92-B19843FD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2019-08-05T08:22:00Z</dcterms:created>
  <dcterms:modified xsi:type="dcterms:W3CDTF">2019-08-05T08:23:00Z</dcterms:modified>
</cp:coreProperties>
</file>