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20" w:type="dxa"/>
        <w:tblLook w:val="04A0"/>
      </w:tblPr>
      <w:tblGrid>
        <w:gridCol w:w="6320"/>
      </w:tblGrid>
      <w:tr w:rsidR="00E82544" w:rsidRPr="00E82544" w:rsidTr="00E82544">
        <w:trPr>
          <w:trHeight w:val="330"/>
        </w:trPr>
        <w:tc>
          <w:tcPr>
            <w:tcW w:w="6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544" w:rsidRPr="00746898" w:rsidRDefault="00E82544" w:rsidP="0074689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40"/>
              </w:rPr>
            </w:pPr>
            <w:r w:rsidRPr="00746898">
              <w:rPr>
                <w:rFonts w:ascii="宋体" w:eastAsia="宋体" w:hAnsi="宋体" w:cs="Arial" w:hint="eastAsia"/>
                <w:b/>
                <w:bCs/>
                <w:kern w:val="0"/>
                <w:sz w:val="40"/>
              </w:rPr>
              <w:t>高速液晶空间光调制器系统</w:t>
            </w:r>
          </w:p>
        </w:tc>
      </w:tr>
      <w:tr w:rsidR="00E82544" w:rsidRPr="00E82544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E82544" w:rsidRDefault="00E82544" w:rsidP="00E82544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</w:p>
        </w:tc>
      </w:tr>
      <w:tr w:rsidR="00E82544" w:rsidRPr="00746898" w:rsidTr="00E82544">
        <w:trPr>
          <w:trHeight w:val="288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校准波长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:λc = 920 nm &amp; 1300nm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通光口径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:17.7 x 10.6 mm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外窗镀膜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:AR coated, Ravg&lt; 1 %, 850 – 1650 nm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分辨率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 xml:space="preserve">:1920 x 1152 (2,211,840 active pixels) 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像元尺寸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:9.2 x 9.2 μm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模式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:Reflective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相位调制量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:2π @ λc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反射波前畸变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 xml:space="preserve"> (RMS Calibrated):λ/10</w:t>
            </w:r>
          </w:p>
        </w:tc>
        <w:bookmarkStart w:id="0" w:name="_GoBack"/>
        <w:bookmarkEnd w:id="0"/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零级衍射效率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</w:t>
            </w: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≤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79% (Max)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填充因子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:95.7%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液晶响应时间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  3.3ms~5 ms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液晶刷新频率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 200Hz~ 300 Hz</w:t>
            </w:r>
          </w:p>
        </w:tc>
      </w:tr>
      <w:tr w:rsidR="00E82544" w:rsidRPr="00746898" w:rsidTr="00E82544">
        <w:trPr>
          <w:trHeight w:val="948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外触发信号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 xml:space="preserve">: SMA connector provides normally high TTL signal which goes low 1.18 ms before new image starts to load from the controller to  the SLM   </w:t>
            </w:r>
          </w:p>
        </w:tc>
      </w:tr>
      <w:tr w:rsidR="00E82544" w:rsidRPr="00746898" w:rsidTr="00E82544">
        <w:trPr>
          <w:trHeight w:val="84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内触发信号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 xml:space="preserve">: SMA connector allows the falling edge of TTL input trigger to control when the image data on the SLM changes   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灰度等级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:256/8bits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寻址电压精度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 4096 analog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lastRenderedPageBreak/>
              <w:t>图片传输时间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:660us</w:t>
            </w:r>
          </w:p>
        </w:tc>
      </w:tr>
      <w:tr w:rsidR="00E82544" w:rsidRPr="00746898" w:rsidTr="00E82544">
        <w:trPr>
          <w:trHeight w:val="33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544" w:rsidRPr="00746898" w:rsidRDefault="00E82544" w:rsidP="00E8254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746898">
              <w:rPr>
                <w:rFonts w:ascii="微软雅黑" w:eastAsia="微软雅黑" w:hAnsi="微软雅黑" w:cs="Arial" w:hint="eastAsia"/>
                <w:kern w:val="0"/>
                <w:sz w:val="22"/>
              </w:rPr>
              <w:t>帧频</w:t>
            </w:r>
            <w:r w:rsidRPr="00746898">
              <w:rPr>
                <w:rFonts w:ascii="微软雅黑" w:eastAsia="微软雅黑" w:hAnsi="微软雅黑" w:cs="Arial"/>
                <w:kern w:val="0"/>
                <w:sz w:val="22"/>
              </w:rPr>
              <w:t>: 845Hz</w:t>
            </w:r>
          </w:p>
        </w:tc>
      </w:tr>
    </w:tbl>
    <w:p w:rsidR="00746898" w:rsidRPr="00746898" w:rsidRDefault="00746898" w:rsidP="00746898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 w:rsidRPr="00746898"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746898" w:rsidRPr="00746898" w:rsidRDefault="00746898" w:rsidP="0074689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设备安装调试</w:t>
      </w:r>
      <w:r w:rsidRPr="00746898">
        <w:rPr>
          <w:rFonts w:ascii="微软雅黑" w:eastAsia="微软雅黑" w:hAnsi="微软雅黑" w:cs="Arial"/>
          <w:kern w:val="0"/>
          <w:sz w:val="22"/>
        </w:rPr>
        <w:t xml:space="preserve">: 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在买方指定的地点完成安装调试，并配合买方进行测试验收。</w:t>
      </w:r>
    </w:p>
    <w:p w:rsidR="00746898" w:rsidRPr="00746898" w:rsidRDefault="00746898" w:rsidP="0074689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质保期验收合格日起</w:t>
      </w:r>
      <w:r w:rsidRPr="00746898">
        <w:rPr>
          <w:rFonts w:ascii="微软雅黑" w:eastAsia="微软雅黑" w:hAnsi="微软雅黑" w:cs="Arial"/>
          <w:kern w:val="0"/>
          <w:sz w:val="22"/>
        </w:rPr>
        <w:t>12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个月。</w:t>
      </w:r>
    </w:p>
    <w:p w:rsidR="00746898" w:rsidRPr="00746898" w:rsidRDefault="00746898" w:rsidP="0074689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维修响应时间</w:t>
      </w:r>
      <w:r w:rsidRPr="00746898">
        <w:rPr>
          <w:rFonts w:ascii="微软雅黑" w:eastAsia="微软雅黑" w:hAnsi="微软雅黑" w:cs="Arial"/>
          <w:kern w:val="0"/>
          <w:sz w:val="22"/>
        </w:rPr>
        <w:t xml:space="preserve">: 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接到维修通知后，</w:t>
      </w:r>
      <w:r w:rsidRPr="00746898">
        <w:rPr>
          <w:rFonts w:ascii="微软雅黑" w:eastAsia="微软雅黑" w:hAnsi="微软雅黑" w:cs="Arial"/>
          <w:kern w:val="0"/>
          <w:sz w:val="22"/>
        </w:rPr>
        <w:t>1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个工作日内做出响应，</w:t>
      </w:r>
      <w:r w:rsidRPr="00746898">
        <w:rPr>
          <w:rFonts w:ascii="微软雅黑" w:eastAsia="微软雅黑" w:hAnsi="微软雅黑" w:cs="Arial"/>
          <w:kern w:val="0"/>
          <w:sz w:val="22"/>
        </w:rPr>
        <w:t>3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个工作日内到场排除故障。</w:t>
      </w:r>
    </w:p>
    <w:p w:rsidR="00746898" w:rsidRPr="00746898" w:rsidRDefault="00746898" w:rsidP="0074689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交货地点：用户指定位置。</w:t>
      </w:r>
    </w:p>
    <w:p w:rsidR="002659EB" w:rsidRPr="00746898" w:rsidRDefault="002659EB">
      <w:pPr>
        <w:rPr>
          <w:rFonts w:ascii="微软雅黑" w:eastAsia="微软雅黑" w:hAnsi="微软雅黑"/>
        </w:rPr>
      </w:pPr>
    </w:p>
    <w:sectPr w:rsidR="002659EB" w:rsidRPr="00746898" w:rsidSect="00B5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3E" w:rsidRDefault="0049283E" w:rsidP="00746898">
      <w:r>
        <w:separator/>
      </w:r>
    </w:p>
  </w:endnote>
  <w:endnote w:type="continuationSeparator" w:id="1">
    <w:p w:rsidR="0049283E" w:rsidRDefault="0049283E" w:rsidP="00746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3E" w:rsidRDefault="0049283E" w:rsidP="00746898">
      <w:r>
        <w:separator/>
      </w:r>
    </w:p>
  </w:footnote>
  <w:footnote w:type="continuationSeparator" w:id="1">
    <w:p w:rsidR="0049283E" w:rsidRDefault="0049283E" w:rsidP="00746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F2037"/>
    <w:multiLevelType w:val="hybridMultilevel"/>
    <w:tmpl w:val="6D561BE4"/>
    <w:lvl w:ilvl="0" w:tplc="1E725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B09"/>
    <w:rsid w:val="002659EB"/>
    <w:rsid w:val="0049283E"/>
    <w:rsid w:val="00746898"/>
    <w:rsid w:val="00B558A5"/>
    <w:rsid w:val="00DF6B09"/>
    <w:rsid w:val="00E8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8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8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chen</dc:creator>
  <cp:keywords/>
  <dc:description/>
  <cp:lastModifiedBy>高伟</cp:lastModifiedBy>
  <cp:revision>3</cp:revision>
  <dcterms:created xsi:type="dcterms:W3CDTF">2018-06-04T01:42:00Z</dcterms:created>
  <dcterms:modified xsi:type="dcterms:W3CDTF">2018-06-04T01:50:00Z</dcterms:modified>
</cp:coreProperties>
</file>