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050" w:rsidRPr="00B86050" w:rsidRDefault="00B86050" w:rsidP="00B86050">
      <w:pPr>
        <w:spacing w:line="360" w:lineRule="auto"/>
        <w:jc w:val="center"/>
        <w:rPr>
          <w:rFonts w:asciiTheme="minorEastAsia" w:hAnsiTheme="minorEastAsia"/>
          <w:b/>
          <w:sz w:val="24"/>
          <w:szCs w:val="24"/>
        </w:rPr>
      </w:pPr>
    </w:p>
    <w:p w:rsidR="004F0460" w:rsidRDefault="009E735B" w:rsidP="009828FE">
      <w:pPr>
        <w:spacing w:line="360" w:lineRule="auto"/>
        <w:jc w:val="center"/>
        <w:rPr>
          <w:rFonts w:asciiTheme="minorEastAsia" w:hAnsiTheme="minorEastAsia"/>
          <w:b/>
          <w:sz w:val="36"/>
          <w:szCs w:val="36"/>
        </w:rPr>
      </w:pPr>
      <w:r>
        <w:rPr>
          <w:rFonts w:asciiTheme="minorEastAsia" w:hAnsiTheme="minorEastAsia" w:hint="eastAsia"/>
          <w:b/>
          <w:sz w:val="36"/>
          <w:szCs w:val="36"/>
        </w:rPr>
        <w:t>显微注射仪</w:t>
      </w:r>
    </w:p>
    <w:p w:rsidR="002A6E25" w:rsidRPr="00E64DB6" w:rsidRDefault="002A6E25" w:rsidP="002A6E25">
      <w:pPr>
        <w:spacing w:line="360" w:lineRule="auto"/>
        <w:rPr>
          <w:rFonts w:asciiTheme="minorEastAsia" w:hAnsiTheme="minorEastAsia"/>
          <w:b/>
          <w:sz w:val="24"/>
          <w:szCs w:val="24"/>
        </w:rPr>
      </w:pPr>
      <w:r w:rsidRPr="00E64DB6">
        <w:rPr>
          <w:rFonts w:asciiTheme="minorEastAsia" w:hAnsiTheme="minorEastAsia" w:hint="eastAsia"/>
          <w:b/>
          <w:sz w:val="24"/>
          <w:szCs w:val="24"/>
        </w:rPr>
        <w:t>一</w:t>
      </w:r>
      <w:r w:rsidRPr="00E64DB6">
        <w:rPr>
          <w:rFonts w:asciiTheme="minorEastAsia" w:hAnsiTheme="minorEastAsia"/>
          <w:b/>
          <w:sz w:val="24"/>
          <w:szCs w:val="24"/>
        </w:rPr>
        <w:t>、</w:t>
      </w:r>
      <w:r w:rsidRPr="00E64DB6">
        <w:rPr>
          <w:rFonts w:asciiTheme="minorEastAsia" w:hAnsiTheme="minorEastAsia" w:hint="eastAsia"/>
          <w:b/>
          <w:sz w:val="24"/>
          <w:szCs w:val="24"/>
        </w:rPr>
        <w:t>设备用途</w:t>
      </w:r>
    </w:p>
    <w:p w:rsidR="002A6E25" w:rsidRPr="009E735B" w:rsidRDefault="009E735B" w:rsidP="00C52AA3">
      <w:pPr>
        <w:spacing w:line="360" w:lineRule="auto"/>
        <w:rPr>
          <w:rFonts w:asciiTheme="minorEastAsia" w:hAnsiTheme="minorEastAsia"/>
          <w:sz w:val="24"/>
          <w:szCs w:val="24"/>
        </w:rPr>
      </w:pPr>
      <w:r w:rsidRPr="009E735B">
        <w:rPr>
          <w:rFonts w:hint="eastAsia"/>
          <w:sz w:val="24"/>
          <w:szCs w:val="24"/>
        </w:rPr>
        <w:t>在</w:t>
      </w:r>
      <w:r w:rsidRPr="009E735B">
        <w:rPr>
          <w:sz w:val="24"/>
          <w:szCs w:val="24"/>
        </w:rPr>
        <w:t>显微镜</w:t>
      </w:r>
      <w:r w:rsidRPr="009E735B">
        <w:rPr>
          <w:rFonts w:hint="eastAsia"/>
          <w:sz w:val="24"/>
          <w:szCs w:val="24"/>
        </w:rPr>
        <w:t>和显微操作仪的支持下</w:t>
      </w:r>
      <w:r w:rsidRPr="009E735B">
        <w:rPr>
          <w:sz w:val="24"/>
          <w:szCs w:val="24"/>
        </w:rPr>
        <w:t>进行</w:t>
      </w:r>
      <w:r w:rsidRPr="009E735B">
        <w:rPr>
          <w:rFonts w:hint="eastAsia"/>
          <w:sz w:val="24"/>
          <w:szCs w:val="24"/>
        </w:rPr>
        <w:t>对秀丽线虫进行</w:t>
      </w:r>
      <w:r w:rsidRPr="009E735B">
        <w:rPr>
          <w:sz w:val="24"/>
          <w:szCs w:val="24"/>
        </w:rPr>
        <w:t>显微注射</w:t>
      </w:r>
      <w:r w:rsidR="002E296F" w:rsidRPr="009E735B">
        <w:rPr>
          <w:rFonts w:asciiTheme="minorEastAsia" w:hAnsiTheme="minorEastAsia" w:hint="eastAsia"/>
          <w:sz w:val="24"/>
          <w:szCs w:val="24"/>
        </w:rPr>
        <w:t>。</w:t>
      </w:r>
    </w:p>
    <w:p w:rsidR="002A6E25" w:rsidRPr="00E64DB6" w:rsidRDefault="002A6E25" w:rsidP="002A6E25">
      <w:pPr>
        <w:spacing w:line="360" w:lineRule="auto"/>
        <w:rPr>
          <w:rFonts w:asciiTheme="minorEastAsia" w:hAnsiTheme="minorEastAsia"/>
          <w:b/>
          <w:sz w:val="24"/>
          <w:szCs w:val="24"/>
        </w:rPr>
      </w:pPr>
      <w:r w:rsidRPr="00E64DB6">
        <w:rPr>
          <w:rFonts w:asciiTheme="minorEastAsia" w:hAnsiTheme="minorEastAsia" w:hint="eastAsia"/>
          <w:b/>
          <w:sz w:val="24"/>
          <w:szCs w:val="24"/>
        </w:rPr>
        <w:t>二</w:t>
      </w:r>
      <w:r w:rsidRPr="00E64DB6">
        <w:rPr>
          <w:rFonts w:asciiTheme="minorEastAsia" w:hAnsiTheme="minorEastAsia"/>
          <w:b/>
          <w:sz w:val="24"/>
          <w:szCs w:val="24"/>
        </w:rPr>
        <w:t>、</w:t>
      </w:r>
      <w:r w:rsidRPr="00E64DB6">
        <w:rPr>
          <w:rFonts w:asciiTheme="minorEastAsia" w:hAnsiTheme="minorEastAsia" w:hint="eastAsia"/>
          <w:b/>
          <w:sz w:val="24"/>
          <w:szCs w:val="24"/>
        </w:rPr>
        <w:t>技术指标</w:t>
      </w:r>
    </w:p>
    <w:p w:rsidR="009E735B" w:rsidRDefault="009E735B" w:rsidP="009E735B">
      <w:pPr>
        <w:tabs>
          <w:tab w:val="left" w:pos="5565"/>
        </w:tabs>
        <w:snapToGrid w:val="0"/>
        <w:spacing w:line="360" w:lineRule="auto"/>
        <w:ind w:left="416" w:hanging="418"/>
        <w:rPr>
          <w:sz w:val="24"/>
          <w:szCs w:val="24"/>
        </w:rPr>
      </w:pPr>
      <w:r w:rsidRPr="009E735B">
        <w:rPr>
          <w:rFonts w:hint="eastAsia"/>
          <w:sz w:val="24"/>
          <w:szCs w:val="24"/>
        </w:rPr>
        <w:t>仪器构成：微量自动注射器。</w:t>
      </w:r>
    </w:p>
    <w:p w:rsidR="009E735B" w:rsidRPr="009E735B" w:rsidRDefault="009E735B" w:rsidP="009E735B">
      <w:pPr>
        <w:snapToGrid w:val="0"/>
        <w:spacing w:line="360" w:lineRule="auto"/>
        <w:rPr>
          <w:color w:val="000000" w:themeColor="text1"/>
          <w:sz w:val="24"/>
          <w:szCs w:val="24"/>
        </w:rPr>
      </w:pPr>
      <w:r w:rsidRPr="009E735B">
        <w:rPr>
          <w:rFonts w:hint="eastAsia"/>
          <w:color w:val="000000" w:themeColor="text1"/>
          <w:sz w:val="24"/>
          <w:szCs w:val="24"/>
        </w:rPr>
        <w:t>注射方式：参数设定的程序化注射。</w:t>
      </w:r>
    </w:p>
    <w:p w:rsidR="009E735B" w:rsidRPr="009E735B" w:rsidRDefault="009E735B" w:rsidP="009E735B">
      <w:pPr>
        <w:snapToGrid w:val="0"/>
        <w:spacing w:line="360" w:lineRule="auto"/>
        <w:rPr>
          <w:color w:val="000000" w:themeColor="text1"/>
          <w:sz w:val="24"/>
          <w:szCs w:val="24"/>
        </w:rPr>
      </w:pPr>
      <w:r w:rsidRPr="009E735B">
        <w:rPr>
          <w:rFonts w:hint="eastAsia"/>
          <w:color w:val="000000" w:themeColor="text1"/>
          <w:sz w:val="24"/>
          <w:szCs w:val="24"/>
        </w:rPr>
        <w:t>注射体积范围：</w:t>
      </w:r>
      <w:r w:rsidRPr="009E735B">
        <w:rPr>
          <w:rFonts w:hint="eastAsia"/>
          <w:color w:val="000000" w:themeColor="text1"/>
          <w:sz w:val="24"/>
          <w:szCs w:val="24"/>
        </w:rPr>
        <w:t>10</w:t>
      </w:r>
      <w:r w:rsidRPr="009E735B">
        <w:rPr>
          <w:rFonts w:hint="eastAsia"/>
          <w:color w:val="000000" w:themeColor="text1"/>
          <w:sz w:val="24"/>
          <w:szCs w:val="24"/>
          <w:vertAlign w:val="superscript"/>
        </w:rPr>
        <w:t>-15</w:t>
      </w:r>
      <w:r w:rsidRPr="009E735B">
        <w:rPr>
          <w:rFonts w:hint="eastAsia"/>
          <w:color w:val="000000" w:themeColor="text1"/>
          <w:sz w:val="24"/>
          <w:szCs w:val="24"/>
        </w:rPr>
        <w:t>～</w:t>
      </w:r>
      <w:r w:rsidRPr="009E735B">
        <w:rPr>
          <w:rFonts w:hint="eastAsia"/>
          <w:color w:val="000000" w:themeColor="text1"/>
          <w:sz w:val="24"/>
          <w:szCs w:val="24"/>
        </w:rPr>
        <w:t>10</w:t>
      </w:r>
      <w:r w:rsidRPr="009E735B">
        <w:rPr>
          <w:rFonts w:hint="eastAsia"/>
          <w:color w:val="000000" w:themeColor="text1"/>
          <w:sz w:val="24"/>
          <w:szCs w:val="24"/>
          <w:vertAlign w:val="superscript"/>
        </w:rPr>
        <w:t>-9</w:t>
      </w:r>
      <w:r w:rsidRPr="009E735B">
        <w:rPr>
          <w:rFonts w:hint="eastAsia"/>
          <w:color w:val="000000" w:themeColor="text1"/>
          <w:sz w:val="24"/>
          <w:szCs w:val="24"/>
        </w:rPr>
        <w:t>升</w:t>
      </w:r>
    </w:p>
    <w:p w:rsidR="009E735B" w:rsidRPr="009E735B" w:rsidRDefault="009E735B" w:rsidP="009E735B">
      <w:pPr>
        <w:snapToGrid w:val="0"/>
        <w:spacing w:line="360" w:lineRule="auto"/>
        <w:rPr>
          <w:color w:val="000000" w:themeColor="text1"/>
          <w:sz w:val="24"/>
          <w:szCs w:val="24"/>
        </w:rPr>
      </w:pPr>
      <w:r w:rsidRPr="009E735B">
        <w:rPr>
          <w:rFonts w:hint="eastAsia"/>
          <w:color w:val="000000" w:themeColor="text1"/>
          <w:sz w:val="24"/>
          <w:szCs w:val="24"/>
        </w:rPr>
        <w:t>注射时间范围：</w:t>
      </w:r>
      <w:r w:rsidRPr="009E735B">
        <w:rPr>
          <w:rFonts w:hint="eastAsia"/>
          <w:color w:val="000000" w:themeColor="text1"/>
          <w:sz w:val="24"/>
          <w:szCs w:val="24"/>
        </w:rPr>
        <w:t>0</w:t>
      </w:r>
      <w:r w:rsidRPr="009E735B">
        <w:rPr>
          <w:rFonts w:hint="eastAsia"/>
          <w:color w:val="000000" w:themeColor="text1"/>
          <w:sz w:val="24"/>
          <w:szCs w:val="24"/>
        </w:rPr>
        <w:t>～</w:t>
      </w:r>
      <w:r w:rsidRPr="009E735B">
        <w:rPr>
          <w:rFonts w:hint="eastAsia"/>
          <w:color w:val="000000" w:themeColor="text1"/>
          <w:sz w:val="24"/>
          <w:szCs w:val="24"/>
        </w:rPr>
        <w:t>99.9</w:t>
      </w:r>
      <w:r w:rsidRPr="009E735B">
        <w:rPr>
          <w:rFonts w:hint="eastAsia"/>
          <w:color w:val="000000" w:themeColor="text1"/>
          <w:sz w:val="24"/>
          <w:szCs w:val="24"/>
        </w:rPr>
        <w:t>秒，以</w:t>
      </w:r>
      <w:r w:rsidRPr="009E735B">
        <w:rPr>
          <w:rFonts w:hint="eastAsia"/>
          <w:color w:val="000000" w:themeColor="text1"/>
          <w:sz w:val="24"/>
          <w:szCs w:val="24"/>
        </w:rPr>
        <w:t>0.1</w:t>
      </w:r>
      <w:r w:rsidRPr="009E735B">
        <w:rPr>
          <w:rFonts w:hint="eastAsia"/>
          <w:color w:val="000000" w:themeColor="text1"/>
          <w:sz w:val="24"/>
          <w:szCs w:val="24"/>
        </w:rPr>
        <w:t>秒递增。</w:t>
      </w:r>
    </w:p>
    <w:p w:rsidR="009E735B" w:rsidRPr="009E735B" w:rsidRDefault="009E735B" w:rsidP="009E735B">
      <w:pPr>
        <w:snapToGrid w:val="0"/>
        <w:spacing w:line="360" w:lineRule="auto"/>
        <w:rPr>
          <w:color w:val="000000" w:themeColor="text1"/>
          <w:sz w:val="24"/>
          <w:szCs w:val="24"/>
        </w:rPr>
      </w:pPr>
      <w:r w:rsidRPr="009E735B">
        <w:rPr>
          <w:rFonts w:hint="eastAsia"/>
          <w:color w:val="000000" w:themeColor="text1"/>
          <w:sz w:val="24"/>
          <w:szCs w:val="24"/>
        </w:rPr>
        <w:t>注射压力范围：</w:t>
      </w:r>
      <w:r w:rsidRPr="009E735B">
        <w:rPr>
          <w:rFonts w:hint="eastAsia"/>
          <w:color w:val="000000" w:themeColor="text1"/>
          <w:sz w:val="24"/>
          <w:szCs w:val="24"/>
        </w:rPr>
        <w:t>0</w:t>
      </w:r>
      <w:r w:rsidRPr="009E735B">
        <w:rPr>
          <w:rFonts w:hint="eastAsia"/>
          <w:color w:val="000000" w:themeColor="text1"/>
          <w:sz w:val="24"/>
          <w:szCs w:val="24"/>
        </w:rPr>
        <w:t>～</w:t>
      </w:r>
      <w:r w:rsidRPr="009E735B">
        <w:rPr>
          <w:rFonts w:hint="eastAsia"/>
          <w:color w:val="000000" w:themeColor="text1"/>
          <w:sz w:val="24"/>
          <w:szCs w:val="24"/>
        </w:rPr>
        <w:t>6000hPa</w:t>
      </w:r>
      <w:r w:rsidRPr="009E735B">
        <w:rPr>
          <w:rFonts w:hint="eastAsia"/>
          <w:color w:val="000000" w:themeColor="text1"/>
          <w:sz w:val="24"/>
          <w:szCs w:val="24"/>
        </w:rPr>
        <w:t>，以</w:t>
      </w:r>
      <w:r w:rsidRPr="009E735B">
        <w:rPr>
          <w:rFonts w:hint="eastAsia"/>
          <w:color w:val="000000" w:themeColor="text1"/>
          <w:sz w:val="24"/>
          <w:szCs w:val="24"/>
        </w:rPr>
        <w:t>1hPa</w:t>
      </w:r>
      <w:r w:rsidRPr="009E735B">
        <w:rPr>
          <w:rFonts w:hint="eastAsia"/>
          <w:color w:val="000000" w:themeColor="text1"/>
          <w:sz w:val="24"/>
          <w:szCs w:val="24"/>
        </w:rPr>
        <w:t>递增。</w:t>
      </w:r>
    </w:p>
    <w:p w:rsidR="009E735B" w:rsidRPr="009E735B" w:rsidRDefault="009E735B" w:rsidP="009E735B">
      <w:pPr>
        <w:snapToGrid w:val="0"/>
        <w:spacing w:line="360" w:lineRule="auto"/>
        <w:rPr>
          <w:color w:val="000000" w:themeColor="text1"/>
          <w:sz w:val="24"/>
          <w:szCs w:val="24"/>
        </w:rPr>
      </w:pPr>
      <w:r w:rsidRPr="009E735B">
        <w:rPr>
          <w:rFonts w:hint="eastAsia"/>
          <w:color w:val="000000" w:themeColor="text1"/>
          <w:sz w:val="24"/>
          <w:szCs w:val="24"/>
        </w:rPr>
        <w:t>补偿压力范围：</w:t>
      </w:r>
      <w:r w:rsidRPr="009E735B">
        <w:rPr>
          <w:rFonts w:hint="eastAsia"/>
          <w:color w:val="000000" w:themeColor="text1"/>
          <w:sz w:val="24"/>
          <w:szCs w:val="24"/>
        </w:rPr>
        <w:t>0</w:t>
      </w:r>
      <w:r w:rsidRPr="009E735B">
        <w:rPr>
          <w:rFonts w:hint="eastAsia"/>
          <w:color w:val="000000" w:themeColor="text1"/>
          <w:sz w:val="24"/>
          <w:szCs w:val="24"/>
        </w:rPr>
        <w:t>～</w:t>
      </w:r>
      <w:r w:rsidRPr="009E735B">
        <w:rPr>
          <w:rFonts w:hint="eastAsia"/>
          <w:color w:val="000000" w:themeColor="text1"/>
          <w:sz w:val="24"/>
          <w:szCs w:val="24"/>
        </w:rPr>
        <w:t>6000hPa</w:t>
      </w:r>
      <w:r w:rsidRPr="009E735B">
        <w:rPr>
          <w:rFonts w:hint="eastAsia"/>
          <w:color w:val="000000" w:themeColor="text1"/>
          <w:sz w:val="24"/>
          <w:szCs w:val="24"/>
        </w:rPr>
        <w:t>，以</w:t>
      </w:r>
      <w:r w:rsidRPr="009E735B">
        <w:rPr>
          <w:rFonts w:hint="eastAsia"/>
          <w:color w:val="000000" w:themeColor="text1"/>
          <w:sz w:val="24"/>
          <w:szCs w:val="24"/>
        </w:rPr>
        <w:t>1hPa</w:t>
      </w:r>
      <w:r w:rsidRPr="009E735B">
        <w:rPr>
          <w:rFonts w:hint="eastAsia"/>
          <w:color w:val="000000" w:themeColor="text1"/>
          <w:sz w:val="24"/>
          <w:szCs w:val="24"/>
        </w:rPr>
        <w:t>递增。</w:t>
      </w:r>
    </w:p>
    <w:p w:rsidR="009E735B" w:rsidRPr="009E735B" w:rsidRDefault="009E735B" w:rsidP="009E735B">
      <w:pPr>
        <w:snapToGrid w:val="0"/>
        <w:spacing w:line="360" w:lineRule="auto"/>
        <w:rPr>
          <w:color w:val="000000" w:themeColor="text1"/>
          <w:sz w:val="24"/>
          <w:szCs w:val="24"/>
        </w:rPr>
      </w:pPr>
      <w:r w:rsidRPr="009E735B">
        <w:rPr>
          <w:rFonts w:hint="eastAsia"/>
          <w:color w:val="000000" w:themeColor="text1"/>
          <w:sz w:val="24"/>
          <w:szCs w:val="24"/>
        </w:rPr>
        <w:t>清针压力：最大值</w:t>
      </w:r>
      <w:r w:rsidRPr="009E735B">
        <w:rPr>
          <w:rFonts w:hint="eastAsia"/>
          <w:color w:val="000000" w:themeColor="text1"/>
          <w:sz w:val="24"/>
          <w:szCs w:val="24"/>
        </w:rPr>
        <w:t>6000h</w:t>
      </w:r>
      <w:bookmarkStart w:id="0" w:name="_GoBack"/>
      <w:bookmarkEnd w:id="0"/>
      <w:r w:rsidRPr="009E735B">
        <w:rPr>
          <w:rFonts w:hint="eastAsia"/>
          <w:color w:val="000000" w:themeColor="text1"/>
          <w:sz w:val="24"/>
          <w:szCs w:val="24"/>
        </w:rPr>
        <w:t>Pa</w:t>
      </w:r>
      <w:r w:rsidRPr="009E735B">
        <w:rPr>
          <w:rFonts w:hint="eastAsia"/>
          <w:color w:val="000000" w:themeColor="text1"/>
          <w:sz w:val="24"/>
          <w:szCs w:val="24"/>
        </w:rPr>
        <w:t>。</w:t>
      </w:r>
    </w:p>
    <w:p w:rsidR="009E735B" w:rsidRPr="009E735B" w:rsidRDefault="009E735B" w:rsidP="009E735B">
      <w:pPr>
        <w:snapToGrid w:val="0"/>
        <w:spacing w:line="360" w:lineRule="auto"/>
        <w:rPr>
          <w:color w:val="000000" w:themeColor="text1"/>
          <w:sz w:val="24"/>
          <w:szCs w:val="24"/>
        </w:rPr>
      </w:pPr>
      <w:r w:rsidRPr="009E735B">
        <w:rPr>
          <w:rFonts w:hint="eastAsia"/>
          <w:color w:val="000000" w:themeColor="text1"/>
          <w:sz w:val="24"/>
          <w:szCs w:val="24"/>
        </w:rPr>
        <w:t>所有注射参数可以程序性记录</w:t>
      </w:r>
      <w:r w:rsidRPr="009E735B">
        <w:rPr>
          <w:rFonts w:hint="eastAsia"/>
          <w:color w:val="000000" w:themeColor="text1"/>
          <w:sz w:val="24"/>
          <w:szCs w:val="24"/>
        </w:rPr>
        <w:t>,</w:t>
      </w:r>
      <w:r w:rsidRPr="009E735B">
        <w:rPr>
          <w:rFonts w:hint="eastAsia"/>
          <w:color w:val="000000" w:themeColor="text1"/>
          <w:sz w:val="24"/>
          <w:szCs w:val="24"/>
        </w:rPr>
        <w:t>方便随时切换调用</w:t>
      </w:r>
    </w:p>
    <w:p w:rsidR="009E735B" w:rsidRPr="009E735B" w:rsidRDefault="009E735B" w:rsidP="009E735B">
      <w:pPr>
        <w:snapToGrid w:val="0"/>
        <w:spacing w:line="360" w:lineRule="auto"/>
        <w:rPr>
          <w:color w:val="000000" w:themeColor="text1"/>
          <w:sz w:val="24"/>
          <w:szCs w:val="24"/>
        </w:rPr>
      </w:pPr>
      <w:r w:rsidRPr="009E735B">
        <w:rPr>
          <w:rFonts w:hint="eastAsia"/>
          <w:color w:val="000000" w:themeColor="text1"/>
          <w:sz w:val="24"/>
          <w:szCs w:val="24"/>
        </w:rPr>
        <w:t>注射功能可通过脚控装置或显微操作仪直接启动。</w:t>
      </w:r>
    </w:p>
    <w:p w:rsidR="002A6E25" w:rsidRPr="00E64DB6" w:rsidRDefault="002A6E25" w:rsidP="002A6E25">
      <w:pPr>
        <w:spacing w:line="360" w:lineRule="auto"/>
        <w:rPr>
          <w:rFonts w:asciiTheme="minorEastAsia" w:hAnsiTheme="minorEastAsia"/>
          <w:b/>
          <w:sz w:val="24"/>
          <w:szCs w:val="24"/>
        </w:rPr>
      </w:pPr>
      <w:r w:rsidRPr="00E64DB6">
        <w:rPr>
          <w:rFonts w:asciiTheme="minorEastAsia" w:hAnsiTheme="minorEastAsia" w:hint="eastAsia"/>
          <w:b/>
          <w:sz w:val="24"/>
          <w:szCs w:val="24"/>
        </w:rPr>
        <w:t>三</w:t>
      </w:r>
      <w:r w:rsidRPr="00E64DB6">
        <w:rPr>
          <w:rFonts w:asciiTheme="minorEastAsia" w:hAnsiTheme="minorEastAsia"/>
          <w:b/>
          <w:sz w:val="24"/>
          <w:szCs w:val="24"/>
        </w:rPr>
        <w:t>、</w:t>
      </w:r>
      <w:r w:rsidRPr="00E64DB6">
        <w:rPr>
          <w:rFonts w:asciiTheme="minorEastAsia" w:hAnsiTheme="minorEastAsia" w:hint="eastAsia"/>
          <w:b/>
          <w:sz w:val="24"/>
          <w:szCs w:val="24"/>
        </w:rPr>
        <w:t>技术服务</w:t>
      </w:r>
    </w:p>
    <w:p w:rsidR="002A6E25" w:rsidRPr="002A6E25" w:rsidRDefault="002A6E25" w:rsidP="002A6E25">
      <w:pPr>
        <w:spacing w:line="360" w:lineRule="auto"/>
        <w:rPr>
          <w:rFonts w:asciiTheme="minorEastAsia" w:hAnsiTheme="minorEastAsia"/>
          <w:sz w:val="24"/>
          <w:szCs w:val="24"/>
        </w:rPr>
      </w:pPr>
      <w:r w:rsidRPr="002A6E25">
        <w:rPr>
          <w:rFonts w:asciiTheme="minorEastAsia" w:hAnsiTheme="minorEastAsia" w:hint="eastAsia"/>
          <w:sz w:val="24"/>
          <w:szCs w:val="24"/>
        </w:rPr>
        <w:t>1</w:t>
      </w:r>
      <w:r w:rsidR="00E64DB6">
        <w:rPr>
          <w:rFonts w:asciiTheme="minorEastAsia" w:hAnsiTheme="minorEastAsia" w:hint="eastAsia"/>
          <w:sz w:val="24"/>
          <w:szCs w:val="24"/>
        </w:rPr>
        <w:t>，</w:t>
      </w:r>
      <w:r w:rsidRPr="002A6E25">
        <w:rPr>
          <w:rFonts w:asciiTheme="minorEastAsia" w:hAnsiTheme="minorEastAsia" w:hint="eastAsia"/>
          <w:sz w:val="24"/>
          <w:szCs w:val="24"/>
        </w:rPr>
        <w:t>设备安装调试</w:t>
      </w:r>
    </w:p>
    <w:p w:rsidR="002A6E25" w:rsidRPr="002A6E25" w:rsidRDefault="002A6E25" w:rsidP="002A6E25">
      <w:pPr>
        <w:spacing w:line="360" w:lineRule="auto"/>
        <w:rPr>
          <w:rFonts w:asciiTheme="minorEastAsia" w:hAnsiTheme="minorEastAsia"/>
          <w:sz w:val="24"/>
          <w:szCs w:val="24"/>
        </w:rPr>
      </w:pPr>
      <w:r w:rsidRPr="002A6E25">
        <w:rPr>
          <w:rFonts w:asciiTheme="minorEastAsia" w:hAnsiTheme="minorEastAsia" w:hint="eastAsia"/>
          <w:sz w:val="24"/>
          <w:szCs w:val="24"/>
        </w:rPr>
        <w:t>仪器到达用户所在地后, 在接到用户通知后1周内执行安装调试直至达到验收指标。</w:t>
      </w:r>
    </w:p>
    <w:p w:rsidR="002A6E25" w:rsidRPr="002A6E25" w:rsidRDefault="002A6E25" w:rsidP="002A6E25">
      <w:pPr>
        <w:spacing w:line="360" w:lineRule="auto"/>
        <w:rPr>
          <w:rFonts w:asciiTheme="minorEastAsia" w:hAnsiTheme="minorEastAsia"/>
          <w:sz w:val="24"/>
          <w:szCs w:val="24"/>
        </w:rPr>
      </w:pPr>
      <w:r w:rsidRPr="002A6E25">
        <w:rPr>
          <w:rFonts w:asciiTheme="minorEastAsia" w:hAnsiTheme="minorEastAsia" w:hint="eastAsia"/>
          <w:sz w:val="24"/>
          <w:szCs w:val="24"/>
        </w:rPr>
        <w:t>2</w:t>
      </w:r>
      <w:r w:rsidR="00E64DB6">
        <w:rPr>
          <w:rFonts w:asciiTheme="minorEastAsia" w:hAnsiTheme="minorEastAsia" w:hint="eastAsia"/>
          <w:sz w:val="24"/>
          <w:szCs w:val="24"/>
        </w:rPr>
        <w:t xml:space="preserve">， </w:t>
      </w:r>
      <w:r w:rsidRPr="002A6E25">
        <w:rPr>
          <w:rFonts w:asciiTheme="minorEastAsia" w:hAnsiTheme="minorEastAsia" w:hint="eastAsia"/>
          <w:sz w:val="24"/>
          <w:szCs w:val="24"/>
        </w:rPr>
        <w:t>技术培训</w:t>
      </w:r>
    </w:p>
    <w:p w:rsidR="002A6E25" w:rsidRPr="002A6E25" w:rsidRDefault="002A6E25" w:rsidP="002A6E25">
      <w:pPr>
        <w:spacing w:line="360" w:lineRule="auto"/>
        <w:rPr>
          <w:rFonts w:asciiTheme="minorEastAsia" w:hAnsiTheme="minorEastAsia"/>
          <w:sz w:val="24"/>
          <w:szCs w:val="24"/>
        </w:rPr>
      </w:pPr>
      <w:r w:rsidRPr="002A6E25">
        <w:rPr>
          <w:rFonts w:asciiTheme="minorEastAsia" w:hAnsiTheme="minorEastAsia" w:hint="eastAsia"/>
          <w:sz w:val="24"/>
          <w:szCs w:val="24"/>
        </w:rPr>
        <w:t>在用户所在地对用户进行1</w:t>
      </w:r>
      <w:r>
        <w:rPr>
          <w:rFonts w:asciiTheme="minorEastAsia" w:hAnsiTheme="minorEastAsia"/>
          <w:sz w:val="24"/>
          <w:szCs w:val="24"/>
        </w:rPr>
        <w:t>~2</w:t>
      </w:r>
      <w:r w:rsidRPr="002A6E25">
        <w:rPr>
          <w:rFonts w:asciiTheme="minorEastAsia" w:hAnsiTheme="minorEastAsia" w:hint="eastAsia"/>
          <w:sz w:val="24"/>
          <w:szCs w:val="24"/>
        </w:rPr>
        <w:t>人、为期至少</w:t>
      </w:r>
      <w:r>
        <w:rPr>
          <w:rFonts w:asciiTheme="minorEastAsia" w:hAnsiTheme="minorEastAsia"/>
          <w:sz w:val="24"/>
          <w:szCs w:val="24"/>
        </w:rPr>
        <w:t>1</w:t>
      </w:r>
      <w:r w:rsidRPr="002A6E25">
        <w:rPr>
          <w:rFonts w:asciiTheme="minorEastAsia" w:hAnsiTheme="minorEastAsia" w:hint="eastAsia"/>
          <w:sz w:val="24"/>
          <w:szCs w:val="24"/>
        </w:rPr>
        <w:t>天的免费培训。培训内容包括仪器的技术原理、操作、数据处理、基本维护等。</w:t>
      </w:r>
    </w:p>
    <w:p w:rsidR="002A6E25" w:rsidRPr="002A6E25" w:rsidRDefault="002A6E25" w:rsidP="002A6E25">
      <w:pPr>
        <w:spacing w:line="360" w:lineRule="auto"/>
        <w:rPr>
          <w:rFonts w:asciiTheme="minorEastAsia" w:hAnsiTheme="minorEastAsia"/>
          <w:sz w:val="24"/>
          <w:szCs w:val="24"/>
        </w:rPr>
      </w:pPr>
      <w:r w:rsidRPr="002A6E25">
        <w:rPr>
          <w:rFonts w:asciiTheme="minorEastAsia" w:hAnsiTheme="minorEastAsia" w:hint="eastAsia"/>
          <w:sz w:val="24"/>
          <w:szCs w:val="24"/>
        </w:rPr>
        <w:t>3</w:t>
      </w:r>
      <w:r w:rsidR="00E64DB6">
        <w:rPr>
          <w:rFonts w:asciiTheme="minorEastAsia" w:hAnsiTheme="minorEastAsia" w:hint="eastAsia"/>
          <w:sz w:val="24"/>
          <w:szCs w:val="24"/>
        </w:rPr>
        <w:t>，</w:t>
      </w:r>
      <w:r w:rsidRPr="002A6E25">
        <w:rPr>
          <w:rFonts w:asciiTheme="minorEastAsia" w:hAnsiTheme="minorEastAsia" w:hint="eastAsia"/>
          <w:sz w:val="24"/>
          <w:szCs w:val="24"/>
        </w:rPr>
        <w:t>保修期：提供</w:t>
      </w:r>
      <w:r w:rsidR="002E296F">
        <w:rPr>
          <w:rFonts w:asciiTheme="minorEastAsia" w:hAnsiTheme="minorEastAsia"/>
          <w:sz w:val="24"/>
          <w:szCs w:val="24"/>
        </w:rPr>
        <w:t>1</w:t>
      </w:r>
      <w:r w:rsidRPr="002A6E25">
        <w:rPr>
          <w:rFonts w:asciiTheme="minorEastAsia" w:hAnsiTheme="minorEastAsia" w:hint="eastAsia"/>
          <w:sz w:val="24"/>
          <w:szCs w:val="24"/>
        </w:rPr>
        <w:t>年全面免费保修，保修期自技术验收签字之日起计算。保修期满前1个月内卖方应负责一次免费全面检查，并写出正式报告，如发现潜在问题，应负责排除。</w:t>
      </w:r>
    </w:p>
    <w:p w:rsidR="002A6E25" w:rsidRDefault="002A6E25" w:rsidP="002A6E25">
      <w:pPr>
        <w:spacing w:line="360" w:lineRule="auto"/>
        <w:rPr>
          <w:rFonts w:asciiTheme="minorEastAsia" w:hAnsiTheme="minorEastAsia"/>
          <w:sz w:val="24"/>
          <w:szCs w:val="24"/>
        </w:rPr>
      </w:pPr>
      <w:r w:rsidRPr="002A6E25">
        <w:rPr>
          <w:rFonts w:asciiTheme="minorEastAsia" w:hAnsiTheme="minorEastAsia" w:hint="eastAsia"/>
          <w:sz w:val="24"/>
          <w:szCs w:val="24"/>
        </w:rPr>
        <w:t>4 维修响应时间：卖方应在24小时内对用户的服务要求作出响应，一般问题应在48小时内解决，重大问题或其它无法迅速解决的问题应在一周内解决或提出明确解决方案，否则卖方应赔偿相应损失。</w:t>
      </w:r>
    </w:p>
    <w:p w:rsidR="002E296F" w:rsidRDefault="002E296F" w:rsidP="002A6E25">
      <w:pPr>
        <w:spacing w:line="360" w:lineRule="auto"/>
        <w:rPr>
          <w:rFonts w:asciiTheme="minorEastAsia" w:hAnsiTheme="minorEastAsia"/>
          <w:sz w:val="24"/>
          <w:szCs w:val="24"/>
        </w:rPr>
      </w:pPr>
    </w:p>
    <w:sectPr w:rsidR="002E296F" w:rsidSect="00A04B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42F" w:rsidRDefault="00A2342F" w:rsidP="00353FF8">
      <w:r>
        <w:separator/>
      </w:r>
    </w:p>
  </w:endnote>
  <w:endnote w:type="continuationSeparator" w:id="1">
    <w:p w:rsidR="00A2342F" w:rsidRDefault="00A2342F" w:rsidP="00353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42F" w:rsidRDefault="00A2342F" w:rsidP="00353FF8">
      <w:r>
        <w:separator/>
      </w:r>
    </w:p>
  </w:footnote>
  <w:footnote w:type="continuationSeparator" w:id="1">
    <w:p w:rsidR="00A2342F" w:rsidRDefault="00A2342F" w:rsidP="00353F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431"/>
    <w:multiLevelType w:val="hybridMultilevel"/>
    <w:tmpl w:val="A8D2EABA"/>
    <w:lvl w:ilvl="0" w:tplc="5E0C460A">
      <w:start w:val="1"/>
      <w:numFmt w:val="decimal"/>
      <w:lvlText w:val="（%1)"/>
      <w:lvlJc w:val="left"/>
      <w:pPr>
        <w:tabs>
          <w:tab w:val="num" w:pos="420"/>
        </w:tabs>
        <w:ind w:left="420" w:hanging="420"/>
      </w:pPr>
      <w:rPr>
        <w:rFonts w:hint="eastAsia"/>
      </w:rPr>
    </w:lvl>
    <w:lvl w:ilvl="1" w:tplc="A0FC7FC6">
      <w:start w:val="4"/>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14E1B26"/>
    <w:multiLevelType w:val="hybridMultilevel"/>
    <w:tmpl w:val="2A5A1822"/>
    <w:lvl w:ilvl="0" w:tplc="F56CB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CA7566"/>
    <w:multiLevelType w:val="hybridMultilevel"/>
    <w:tmpl w:val="121AB73A"/>
    <w:lvl w:ilvl="0" w:tplc="D278F164">
      <w:start w:val="1"/>
      <w:numFmt w:val="decimal"/>
      <w:lvlText w:val="%1，"/>
      <w:lvlJc w:val="left"/>
      <w:pPr>
        <w:ind w:left="480" w:hanging="360"/>
      </w:pPr>
      <w:rPr>
        <w:rFonts w:asciiTheme="minorEastAsia" w:eastAsiaTheme="minorEastAsia" w:hAnsiTheme="minorEastAsia" w:cstheme="minorBidi"/>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3FF8"/>
    <w:rsid w:val="00060B8F"/>
    <w:rsid w:val="0007166F"/>
    <w:rsid w:val="00096496"/>
    <w:rsid w:val="00105A2A"/>
    <w:rsid w:val="0015727E"/>
    <w:rsid w:val="00157EE1"/>
    <w:rsid w:val="002A2953"/>
    <w:rsid w:val="002A6E25"/>
    <w:rsid w:val="002E296F"/>
    <w:rsid w:val="00353FF8"/>
    <w:rsid w:val="00446D90"/>
    <w:rsid w:val="004F0460"/>
    <w:rsid w:val="00511D40"/>
    <w:rsid w:val="00543948"/>
    <w:rsid w:val="005A1E70"/>
    <w:rsid w:val="00676F82"/>
    <w:rsid w:val="006A17E7"/>
    <w:rsid w:val="006D1458"/>
    <w:rsid w:val="006D755A"/>
    <w:rsid w:val="007506C5"/>
    <w:rsid w:val="007937B8"/>
    <w:rsid w:val="007F4AC1"/>
    <w:rsid w:val="00816DA0"/>
    <w:rsid w:val="00847545"/>
    <w:rsid w:val="00863EFD"/>
    <w:rsid w:val="008B597F"/>
    <w:rsid w:val="008C69CA"/>
    <w:rsid w:val="009828FE"/>
    <w:rsid w:val="009A6DFE"/>
    <w:rsid w:val="009E735B"/>
    <w:rsid w:val="009F6822"/>
    <w:rsid w:val="00A04B5D"/>
    <w:rsid w:val="00A2342F"/>
    <w:rsid w:val="00AC4D95"/>
    <w:rsid w:val="00AD573D"/>
    <w:rsid w:val="00AF0E10"/>
    <w:rsid w:val="00B51A80"/>
    <w:rsid w:val="00B86050"/>
    <w:rsid w:val="00BA3461"/>
    <w:rsid w:val="00BC198E"/>
    <w:rsid w:val="00C3074B"/>
    <w:rsid w:val="00C52AA3"/>
    <w:rsid w:val="00C96FB6"/>
    <w:rsid w:val="00CC072D"/>
    <w:rsid w:val="00CC79F6"/>
    <w:rsid w:val="00D03537"/>
    <w:rsid w:val="00E64DB6"/>
    <w:rsid w:val="00E666F2"/>
    <w:rsid w:val="00FB0D22"/>
    <w:rsid w:val="00FC61D6"/>
    <w:rsid w:val="00FF0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B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3F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3FF8"/>
    <w:rPr>
      <w:sz w:val="18"/>
      <w:szCs w:val="18"/>
    </w:rPr>
  </w:style>
  <w:style w:type="paragraph" w:styleId="a4">
    <w:name w:val="footer"/>
    <w:basedOn w:val="a"/>
    <w:link w:val="Char0"/>
    <w:uiPriority w:val="99"/>
    <w:unhideWhenUsed/>
    <w:rsid w:val="00353FF8"/>
    <w:pPr>
      <w:tabs>
        <w:tab w:val="center" w:pos="4153"/>
        <w:tab w:val="right" w:pos="8306"/>
      </w:tabs>
      <w:snapToGrid w:val="0"/>
      <w:jc w:val="left"/>
    </w:pPr>
    <w:rPr>
      <w:sz w:val="18"/>
      <w:szCs w:val="18"/>
    </w:rPr>
  </w:style>
  <w:style w:type="character" w:customStyle="1" w:styleId="Char0">
    <w:name w:val="页脚 Char"/>
    <w:basedOn w:val="a0"/>
    <w:link w:val="a4"/>
    <w:uiPriority w:val="99"/>
    <w:rsid w:val="00353FF8"/>
    <w:rPr>
      <w:sz w:val="18"/>
      <w:szCs w:val="18"/>
    </w:rPr>
  </w:style>
  <w:style w:type="paragraph" w:styleId="a5">
    <w:name w:val="List Paragraph"/>
    <w:basedOn w:val="a"/>
    <w:uiPriority w:val="34"/>
    <w:qFormat/>
    <w:rsid w:val="009828F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B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3F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3FF8"/>
    <w:rPr>
      <w:sz w:val="18"/>
      <w:szCs w:val="18"/>
    </w:rPr>
  </w:style>
  <w:style w:type="paragraph" w:styleId="a4">
    <w:name w:val="footer"/>
    <w:basedOn w:val="a"/>
    <w:link w:val="Char0"/>
    <w:uiPriority w:val="99"/>
    <w:unhideWhenUsed/>
    <w:rsid w:val="00353FF8"/>
    <w:pPr>
      <w:tabs>
        <w:tab w:val="center" w:pos="4153"/>
        <w:tab w:val="right" w:pos="8306"/>
      </w:tabs>
      <w:snapToGrid w:val="0"/>
      <w:jc w:val="left"/>
    </w:pPr>
    <w:rPr>
      <w:sz w:val="18"/>
      <w:szCs w:val="18"/>
    </w:rPr>
  </w:style>
  <w:style w:type="character" w:customStyle="1" w:styleId="Char0">
    <w:name w:val="页脚 Char"/>
    <w:basedOn w:val="a0"/>
    <w:link w:val="a4"/>
    <w:uiPriority w:val="99"/>
    <w:rsid w:val="00353FF8"/>
    <w:rPr>
      <w:sz w:val="18"/>
      <w:szCs w:val="18"/>
    </w:rPr>
  </w:style>
  <w:style w:type="paragraph" w:styleId="a5">
    <w:name w:val="List Paragraph"/>
    <w:basedOn w:val="a"/>
    <w:uiPriority w:val="34"/>
    <w:qFormat/>
    <w:rsid w:val="009828F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Company>生物物理研究所</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wanghongcheng</dc:creator>
  <cp:lastModifiedBy>IBP-FA</cp:lastModifiedBy>
  <cp:revision>2</cp:revision>
  <dcterms:created xsi:type="dcterms:W3CDTF">2015-07-20T07:15:00Z</dcterms:created>
  <dcterms:modified xsi:type="dcterms:W3CDTF">2015-07-20T07:15:00Z</dcterms:modified>
</cp:coreProperties>
</file>