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62" w:rsidRDefault="002F1D58" w:rsidP="00C249CC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微波组织处理仪</w:t>
      </w:r>
      <w:r w:rsidR="00916D62">
        <w:rPr>
          <w:rFonts w:asciiTheme="minorEastAsia" w:eastAsiaTheme="minorEastAsia" w:hAnsiTheme="minorEastAsia" w:hint="eastAsia"/>
          <w:b/>
          <w:sz w:val="24"/>
          <w:szCs w:val="28"/>
        </w:rPr>
        <w:t>一台</w:t>
      </w:r>
    </w:p>
    <w:p w:rsidR="002F1D58" w:rsidRPr="00C249CC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bookmarkStart w:id="0" w:name="_GoBack"/>
      <w:bookmarkEnd w:id="0"/>
      <w:r w:rsidRPr="00C249CC">
        <w:rPr>
          <w:rFonts w:asciiTheme="minorEastAsia" w:eastAsiaTheme="minorEastAsia" w:hAnsiTheme="minorEastAsia"/>
          <w:b/>
          <w:sz w:val="24"/>
          <w:szCs w:val="28"/>
        </w:rPr>
        <w:t>技术规格</w:t>
      </w:r>
    </w:p>
    <w:p w:rsidR="00C249CC" w:rsidRPr="00C249CC" w:rsidRDefault="00C249CC" w:rsidP="00C249CC">
      <w:pPr>
        <w:spacing w:line="360" w:lineRule="auto"/>
        <w:ind w:left="557" w:hangingChars="231" w:hanging="557"/>
        <w:jc w:val="left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bCs/>
          <w:sz w:val="24"/>
          <w:szCs w:val="28"/>
        </w:rPr>
        <w:t>1.工作条件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1.1 工作温度：适于摄氏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℃～＋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</w:rPr>
        <w:t>4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1.2 工作湿度：适于相对湿度为9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1.3 工作电源：三相或单相，</w:t>
      </w:r>
      <w:r w:rsidRPr="00C249CC">
        <w:rPr>
          <w:rFonts w:asciiTheme="minorEastAsia" w:eastAsiaTheme="minorEastAsia" w:hAnsiTheme="minorEastAsia"/>
          <w:sz w:val="24"/>
          <w:szCs w:val="28"/>
        </w:rPr>
        <w:t>220V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C249CC">
        <w:rPr>
          <w:rFonts w:asciiTheme="minorEastAsia" w:eastAsiaTheme="minorEastAsia" w:hAnsiTheme="minorEastAsia"/>
          <w:sz w:val="24"/>
          <w:szCs w:val="28"/>
        </w:rPr>
        <w:sym w:font="Symbol" w:char="F0B1"/>
      </w:r>
      <w:r w:rsidRPr="00C249CC">
        <w:rPr>
          <w:rFonts w:asciiTheme="minorEastAsia" w:eastAsiaTheme="minorEastAsia" w:hAnsiTheme="minorEastAsia"/>
          <w:sz w:val="24"/>
          <w:szCs w:val="28"/>
        </w:rPr>
        <w:t>10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％）</w:t>
      </w:r>
      <w:r w:rsidRPr="00C249CC">
        <w:rPr>
          <w:rFonts w:asciiTheme="minorEastAsia" w:eastAsiaTheme="minorEastAsia" w:hAnsiTheme="minorEastAsia"/>
          <w:sz w:val="24"/>
          <w:szCs w:val="28"/>
        </w:rPr>
        <w:t>/50Hz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。配置符合中国有关标准要求的插头（如果没有这样的插头，则需提供适当的转换插座）。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1.4 仪器运行的持久性：可连续运行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1.5 仪器的工作状态：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较强的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防震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防磁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能力，工作稳定</w:t>
      </w:r>
    </w:p>
    <w:p w:rsid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1.6 仪器设备的安全性：符合国家放射线防护安全标准和电器安全标准</w:t>
      </w:r>
      <w:r w:rsidR="00C249CC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C249CC" w:rsidRPr="00C249CC" w:rsidRDefault="00C249CC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2.设备用途</w:t>
      </w:r>
    </w:p>
    <w:p w:rsidR="002F1D58" w:rsidRPr="00C249CC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供生物电镜样品的组织处理使用。</w:t>
      </w:r>
    </w:p>
    <w:p w:rsidR="009205DB" w:rsidRPr="00C249CC" w:rsidRDefault="009205DB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3. 技术要求</w:t>
      </w:r>
    </w:p>
    <w:p w:rsidR="002F1D58" w:rsidRPr="00C249CC" w:rsidRDefault="009205DB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/>
          <w:sz w:val="24"/>
          <w:szCs w:val="28"/>
        </w:rPr>
        <w:t>*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3</w:t>
      </w:r>
      <w:r w:rsidRPr="00C249CC">
        <w:rPr>
          <w:rFonts w:asciiTheme="minorEastAsia" w:eastAsiaTheme="minorEastAsia" w:hAnsiTheme="minorEastAsia"/>
          <w:sz w:val="24"/>
          <w:szCs w:val="28"/>
        </w:rPr>
        <w:t>.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 xml:space="preserve">1 </w:t>
      </w:r>
      <w:r w:rsidRPr="00C249CC">
        <w:rPr>
          <w:rFonts w:asciiTheme="minorEastAsia" w:eastAsiaTheme="minorEastAsia" w:hAnsiTheme="minorEastAsia"/>
          <w:sz w:val="24"/>
          <w:szCs w:val="28"/>
        </w:rPr>
        <w:t xml:space="preserve"> 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微波频率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≥</w:t>
      </w:r>
      <w:r w:rsidR="002F1D58" w:rsidRPr="00C249CC">
        <w:rPr>
          <w:rFonts w:asciiTheme="minorEastAsia" w:eastAsiaTheme="minorEastAsia" w:hAnsiTheme="minorEastAsia" w:cs="UniversLTStd-Cn"/>
          <w:noProof w:val="0"/>
          <w:kern w:val="0"/>
          <w:sz w:val="24"/>
          <w:szCs w:val="28"/>
        </w:rPr>
        <w:t>2</w:t>
      </w:r>
      <w:r w:rsidR="002F1D58" w:rsidRPr="00C249CC">
        <w:rPr>
          <w:rFonts w:asciiTheme="minorEastAsia" w:eastAsiaTheme="minorEastAsia" w:hAnsiTheme="minorEastAsia" w:cs="UniversLTStd-Cn" w:hint="eastAsia"/>
          <w:noProof w:val="0"/>
          <w:kern w:val="0"/>
          <w:sz w:val="24"/>
          <w:szCs w:val="28"/>
        </w:rPr>
        <w:t>00</w:t>
      </w:r>
      <w:r w:rsidR="002F1D58" w:rsidRPr="00C249CC">
        <w:rPr>
          <w:rFonts w:asciiTheme="minorEastAsia" w:eastAsiaTheme="minorEastAsia" w:hAnsiTheme="minorEastAsia" w:cs="UniversLTStd-Cn"/>
          <w:noProof w:val="0"/>
          <w:kern w:val="0"/>
          <w:sz w:val="24"/>
          <w:szCs w:val="28"/>
        </w:rPr>
        <w:t>0MHz</w:t>
      </w:r>
      <w:r w:rsidRPr="00C249CC">
        <w:rPr>
          <w:rFonts w:asciiTheme="minorEastAsia" w:eastAsiaTheme="minorEastAsia" w:hAnsiTheme="minorEastAsia" w:cs="UniversLTStd-Cn" w:hint="eastAsia"/>
          <w:noProof w:val="0"/>
          <w:kern w:val="0"/>
          <w:sz w:val="24"/>
          <w:szCs w:val="28"/>
        </w:rPr>
        <w:t>，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加热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功率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≥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30W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，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1W步进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，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连续可调</w:t>
      </w:r>
    </w:p>
    <w:p w:rsidR="002F1D58" w:rsidRPr="00C249CC" w:rsidRDefault="009205DB" w:rsidP="00C249CC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  <w:szCs w:val="28"/>
        </w:rPr>
      </w:pPr>
      <w:r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 xml:space="preserve">3.2 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具有持续发射、脉冲式发射、线性增强式发射等多种微波发射模式</w:t>
      </w:r>
    </w:p>
    <w:p w:rsidR="009205DB" w:rsidRPr="00C249CC" w:rsidRDefault="009205DB" w:rsidP="00C249CC">
      <w:pPr>
        <w:spacing w:line="360" w:lineRule="auto"/>
        <w:ind w:right="420"/>
        <w:jc w:val="left"/>
        <w:rPr>
          <w:rFonts w:asciiTheme="minorEastAsia" w:eastAsiaTheme="minorEastAsia" w:hAnsiTheme="minorEastAsia"/>
          <w:sz w:val="24"/>
          <w:szCs w:val="28"/>
          <w:lang w:val="en-GB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 xml:space="preserve">3.3 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仪器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温度控制范围：室温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~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100°C</w:t>
      </w:r>
    </w:p>
    <w:p w:rsidR="002F1D58" w:rsidRPr="00C249CC" w:rsidRDefault="00E83719" w:rsidP="00C249CC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 xml:space="preserve">3.4 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可振动的多个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试剂管位置</w:t>
      </w:r>
      <w:r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，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混匀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振幅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≥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4mm</w:t>
      </w:r>
    </w:p>
    <w:p w:rsidR="00E83719" w:rsidRPr="00C249CC" w:rsidRDefault="00E83719" w:rsidP="00C249CC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sz w:val="24"/>
          <w:szCs w:val="28"/>
          <w:lang w:val="en-GB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 xml:space="preserve">3.5 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试剂管更换时间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≤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约30秒</w:t>
      </w:r>
    </w:p>
    <w:p w:rsidR="00E83719" w:rsidRPr="00C249CC" w:rsidRDefault="00E83719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8"/>
          <w:lang w:val="en-GB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 xml:space="preserve">3.6 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>每步试剂</w:t>
      </w:r>
      <w:r w:rsidRPr="00C249CC">
        <w:rPr>
          <w:rFonts w:asciiTheme="minorEastAsia" w:eastAsiaTheme="minorEastAsia" w:hAnsiTheme="minorEastAsia" w:hint="eastAsia"/>
          <w:sz w:val="24"/>
          <w:szCs w:val="28"/>
          <w:lang w:val="en-GB"/>
        </w:rPr>
        <w:t>消耗≤</w:t>
      </w:r>
      <w:r w:rsidRPr="00C249CC">
        <w:rPr>
          <w:rFonts w:asciiTheme="minorEastAsia" w:eastAsiaTheme="minorEastAsia" w:hAnsiTheme="minorEastAsia"/>
          <w:sz w:val="24"/>
          <w:szCs w:val="28"/>
          <w:lang w:val="en-GB"/>
        </w:rPr>
        <w:t xml:space="preserve">10ml </w:t>
      </w:r>
    </w:p>
    <w:p w:rsidR="002F1D58" w:rsidRPr="00C249CC" w:rsidRDefault="00164656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  <w:lang w:val="sv-SE"/>
        </w:rPr>
        <w:t xml:space="preserve">3.7 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微波腔室与基本腔室有相对独立的排风系统</w:t>
      </w:r>
    </w:p>
    <w:p w:rsidR="002F1D58" w:rsidRPr="00C249CC" w:rsidRDefault="00E83719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/>
          <w:sz w:val="24"/>
          <w:szCs w:val="28"/>
        </w:rPr>
        <w:t>*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.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8</w:t>
      </w:r>
      <w:r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电脑程序化控制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可存储</w:t>
      </w:r>
      <w:r w:rsidR="002F1D58" w:rsidRPr="00C249CC">
        <w:rPr>
          <w:rFonts w:asciiTheme="minorEastAsia" w:eastAsiaTheme="minorEastAsia" w:hAnsiTheme="minorEastAsia" w:cs="UniversLTStd-Cn" w:hint="eastAsia"/>
          <w:noProof w:val="0"/>
          <w:kern w:val="0"/>
          <w:sz w:val="24"/>
          <w:szCs w:val="28"/>
        </w:rPr>
        <w:t>多</w:t>
      </w:r>
      <w:r w:rsidR="002F1D58"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组程序</w:t>
      </w:r>
      <w:r w:rsidRPr="00C249CC">
        <w:rPr>
          <w:rFonts w:asciiTheme="minorEastAsia" w:eastAsiaTheme="minorEastAsia" w:hAnsiTheme="minorEastAsia" w:cs="黑体" w:hint="eastAsia"/>
          <w:noProof w:val="0"/>
          <w:kern w:val="0"/>
          <w:sz w:val="24"/>
          <w:szCs w:val="28"/>
        </w:rPr>
        <w:t>，每程序容纳多个步骤</w:t>
      </w:r>
    </w:p>
    <w:p w:rsidR="002F1D58" w:rsidRPr="00C249CC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/>
          <w:sz w:val="24"/>
          <w:szCs w:val="28"/>
        </w:rPr>
        <w:t>注：*表示必须满足且重要的指标</w:t>
      </w:r>
    </w:p>
    <w:p w:rsidR="002F1D58" w:rsidRPr="00C249CC" w:rsidRDefault="009205DB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4.</w:t>
      </w:r>
      <w:r w:rsidRPr="00C249CC">
        <w:rPr>
          <w:rFonts w:asciiTheme="minorEastAsia" w:eastAsiaTheme="minorEastAsia" w:hAnsiTheme="minorEastAsia"/>
          <w:b/>
          <w:sz w:val="24"/>
          <w:szCs w:val="28"/>
        </w:rPr>
        <w:t>技术服务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1 安装、调试与培训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仪器到货后，厂家需在接到用户通知后10个工作日内进行安装调试；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按照买方和卖方双方同意的标准对主机、附件，软件的性能和功能进行测试；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提供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现场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免费培训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培训内容包括仪器的技术原理、仪器操作、仪器基本维护等。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.2 验收：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实现系统成套联调并达到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招标文件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的技术要求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lastRenderedPageBreak/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 xml:space="preserve">.3 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保修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保修期为安装验收合格之日起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年，在保修期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内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软硬件出现的问题，接到用户通知后二十四小时内给予答复，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个工作日内给与解决方案并到达用户现场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免费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解决问题。重大问题或其它无法立刻解决的问题应在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两周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内解决或提出明确的解决方案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，如不能按期解决的，保修期自动按照用户报修日至修复日顺延。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设备保修期满前1个月，卖方免费负责一次全面的检查、维护，并写出正式报告，如发现潜在问题，应负责排除。</w:t>
      </w:r>
    </w:p>
    <w:p w:rsidR="002F1D58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设备供应商提供终身维修，并保证保修期满后不低于十年的零配件及消耗品的供应。</w:t>
      </w:r>
    </w:p>
    <w:p w:rsidR="00530488" w:rsidRPr="00530488" w:rsidRDefault="00530488" w:rsidP="00530488">
      <w:pPr>
        <w:spacing w:line="360" w:lineRule="auto"/>
        <w:ind w:firstLineChars="300" w:firstLine="720"/>
        <w:rPr>
          <w:noProof w:val="0"/>
          <w:sz w:val="24"/>
          <w:szCs w:val="20"/>
        </w:rPr>
      </w:pPr>
      <w:r w:rsidRPr="00D15D56">
        <w:rPr>
          <w:rFonts w:hAnsi="宋体"/>
          <w:noProof w:val="0"/>
          <w:sz w:val="24"/>
          <w:szCs w:val="20"/>
        </w:rPr>
        <w:t>提供全套的备品备件清单。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.4 软件升级</w:t>
      </w:r>
      <w:r w:rsid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在硬件支持的前提下，免费提供软件升级。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4.5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提供维护</w:t>
      </w:r>
      <w:r w:rsidR="002F1D58" w:rsidRPr="00C249CC">
        <w:rPr>
          <w:rFonts w:asciiTheme="minorEastAsia" w:eastAsiaTheme="minorEastAsia" w:hAnsiTheme="minorEastAsia" w:hint="eastAsia"/>
          <w:bCs/>
          <w:sz w:val="24"/>
          <w:szCs w:val="28"/>
        </w:rPr>
        <w:t>手册和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操作手册。</w:t>
      </w:r>
    </w:p>
    <w:p w:rsidR="006E3D0C" w:rsidRPr="00C249CC" w:rsidRDefault="006E3D0C" w:rsidP="00C249C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8"/>
        </w:rPr>
      </w:pPr>
    </w:p>
    <w:sectPr w:rsidR="006E3D0C" w:rsidRPr="00C249CC" w:rsidSect="0007414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95" w:rsidRDefault="00A35C95">
      <w:r>
        <w:separator/>
      </w:r>
    </w:p>
  </w:endnote>
  <w:endnote w:type="continuationSeparator" w:id="0">
    <w:p w:rsidR="00A35C95" w:rsidRDefault="00A3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PMingLiU"/>
    <w:charset w:val="88"/>
    <w:family w:val="modern"/>
    <w:pitch w:val="fixed"/>
    <w:sig w:usb0="80000001" w:usb1="28091800" w:usb2="00000016" w:usb3="00000000" w:csb0="001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2707" w:rsidRDefault="009C27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ind w:firstLineChars="2200" w:firstLine="3960"/>
      <w:rPr>
        <w:rFonts w:eastAsia="PMingLiU"/>
        <w:lang w:eastAsia="zh-TW"/>
      </w:rPr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16D62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ascii="宋体" w:hAnsi="宋体"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916D62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95" w:rsidRDefault="00A35C95">
      <w:r>
        <w:separator/>
      </w:r>
    </w:p>
  </w:footnote>
  <w:footnote w:type="continuationSeparator" w:id="0">
    <w:p w:rsidR="00A35C95" w:rsidRDefault="00A3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7"/>
      <w:jc w:val="both"/>
    </w:pP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36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1">
    <w:nsid w:val="0BF14741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9587A"/>
    <w:multiLevelType w:val="hybridMultilevel"/>
    <w:tmpl w:val="1A68654A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184D9B"/>
    <w:multiLevelType w:val="hybridMultilevel"/>
    <w:tmpl w:val="D88AD4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7616F58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5">
    <w:nsid w:val="29304935"/>
    <w:multiLevelType w:val="hybridMultilevel"/>
    <w:tmpl w:val="7586FC0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985097E"/>
    <w:multiLevelType w:val="hybridMultilevel"/>
    <w:tmpl w:val="CDE0BDA2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abstractNum w:abstractNumId="7">
    <w:nsid w:val="2D874024"/>
    <w:multiLevelType w:val="multilevel"/>
    <w:tmpl w:val="3A32E258"/>
    <w:lvl w:ilvl="0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73E77BC"/>
    <w:multiLevelType w:val="hybridMultilevel"/>
    <w:tmpl w:val="957E9CEE"/>
    <w:lvl w:ilvl="0" w:tplc="89A034D0">
      <w:start w:val="1"/>
      <w:numFmt w:val="bullet"/>
      <w:lvlText w:val="-"/>
      <w:lvlJc w:val="left"/>
      <w:pPr>
        <w:ind w:left="138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9">
    <w:nsid w:val="37E87754"/>
    <w:multiLevelType w:val="hybridMultilevel"/>
    <w:tmpl w:val="3A32E258"/>
    <w:lvl w:ilvl="0" w:tplc="8F4E2EA8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0F2299"/>
    <w:multiLevelType w:val="hybridMultilevel"/>
    <w:tmpl w:val="DFB475C4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210919"/>
    <w:multiLevelType w:val="hybridMultilevel"/>
    <w:tmpl w:val="4D9CB6B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42805BDB"/>
    <w:multiLevelType w:val="hybridMultilevel"/>
    <w:tmpl w:val="6ED2102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>
    <w:nsid w:val="46BC5B6B"/>
    <w:multiLevelType w:val="hybridMultilevel"/>
    <w:tmpl w:val="9C8E5D90"/>
    <w:lvl w:ilvl="0" w:tplc="35BE26EE">
      <w:numFmt w:val="bullet"/>
      <w:lvlText w:val="＊"/>
      <w:lvlJc w:val="left"/>
      <w:pPr>
        <w:ind w:left="906" w:hanging="480"/>
      </w:pPr>
      <w:rPr>
        <w:rFonts w:ascii="MS Mincho" w:eastAsia="MS Mincho" w:hAnsi="MS Mincho" w:cs="Times New Roman" w:hint="eastAsia"/>
        <w:i w:val="0"/>
      </w:rPr>
    </w:lvl>
    <w:lvl w:ilvl="1" w:tplc="4DFE995A">
      <w:numFmt w:val="bullet"/>
      <w:lvlText w:val="＊"/>
      <w:lvlJc w:val="left"/>
      <w:pPr>
        <w:tabs>
          <w:tab w:val="num" w:pos="1266"/>
        </w:tabs>
        <w:ind w:left="1266" w:hanging="360"/>
      </w:pPr>
      <w:rPr>
        <w:rFonts w:ascii="MS Mincho" w:eastAsia="MS Mincho" w:hAnsi="MS Mincho" w:cs="Times New Roman" w:hint="eastAsia"/>
        <w:i w:val="0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46FF6E18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2A5063"/>
    <w:multiLevelType w:val="multilevel"/>
    <w:tmpl w:val="EE5620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7B91022"/>
    <w:multiLevelType w:val="multilevel"/>
    <w:tmpl w:val="48A080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8335530"/>
    <w:multiLevelType w:val="singleLevel"/>
    <w:tmpl w:val="C80A9D8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abstractNum w:abstractNumId="18">
    <w:nsid w:val="58C66402"/>
    <w:multiLevelType w:val="multilevel"/>
    <w:tmpl w:val="96C470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9C21FD8"/>
    <w:multiLevelType w:val="multilevel"/>
    <w:tmpl w:val="07522C8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lvlText w:val="2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pStyle w:val="3"/>
      <w:lvlText w:val="%1.3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pStyle w:val="5"/>
      <w:lvlText w:val="%5)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7"/>
      <w:lvlText w:val="%7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7">
      <w:start w:val="1"/>
      <w:numFmt w:val="lowerRoman"/>
      <w:pStyle w:val="8"/>
      <w:lvlText w:val="%8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4"/>
        </w:tabs>
        <w:ind w:left="284" w:hanging="851"/>
      </w:pPr>
      <w:rPr>
        <w:rFonts w:hint="default"/>
      </w:rPr>
    </w:lvl>
  </w:abstractNum>
  <w:abstractNum w:abstractNumId="20">
    <w:nsid w:val="5FCC6BAA"/>
    <w:multiLevelType w:val="hybridMultilevel"/>
    <w:tmpl w:val="CE10E896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10F3576"/>
    <w:multiLevelType w:val="hybridMultilevel"/>
    <w:tmpl w:val="FE3E17C8"/>
    <w:lvl w:ilvl="0" w:tplc="E56E30A8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2">
    <w:nsid w:val="63DC2E88"/>
    <w:multiLevelType w:val="multilevel"/>
    <w:tmpl w:val="8D100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991311"/>
    <w:multiLevelType w:val="hybridMultilevel"/>
    <w:tmpl w:val="B83EBA20"/>
    <w:lvl w:ilvl="0" w:tplc="610A12FC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67185CC2"/>
    <w:multiLevelType w:val="hybridMultilevel"/>
    <w:tmpl w:val="B14C1CAA"/>
    <w:lvl w:ilvl="0" w:tplc="0ED2D992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AC36BD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7">
    <w:nsid w:val="76CE158D"/>
    <w:multiLevelType w:val="hybridMultilevel"/>
    <w:tmpl w:val="12BE77C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>
    <w:nsid w:val="7DE0558C"/>
    <w:multiLevelType w:val="hybridMultilevel"/>
    <w:tmpl w:val="54A0CE1A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num w:numId="1">
    <w:abstractNumId w:val="17"/>
    <w:lvlOverride w:ilvl="0">
      <w:startOverride w:val="1"/>
    </w:lvlOverride>
  </w:num>
  <w:num w:numId="2">
    <w:abstractNumId w:val="19"/>
  </w:num>
  <w:num w:numId="3">
    <w:abstractNumId w:val="2"/>
  </w:num>
  <w:num w:numId="4">
    <w:abstractNumId w:val="10"/>
  </w:num>
  <w:num w:numId="5">
    <w:abstractNumId w:val="8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9"/>
  </w:num>
  <w:num w:numId="18">
    <w:abstractNumId w:val="7"/>
  </w:num>
  <w:num w:numId="19">
    <w:abstractNumId w:val="24"/>
  </w:num>
  <w:num w:numId="20">
    <w:abstractNumId w:val="28"/>
  </w:num>
  <w:num w:numId="21">
    <w:abstractNumId w:val="6"/>
  </w:num>
  <w:num w:numId="22">
    <w:abstractNumId w:val="18"/>
  </w:num>
  <w:num w:numId="23">
    <w:abstractNumId w:val="15"/>
  </w:num>
  <w:num w:numId="24">
    <w:abstractNumId w:val="0"/>
  </w:num>
  <w:num w:numId="25">
    <w:abstractNumId w:val="26"/>
  </w:num>
  <w:num w:numId="26">
    <w:abstractNumId w:val="4"/>
  </w:num>
  <w:num w:numId="27">
    <w:abstractNumId w:val="22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6"/>
    <w:rsid w:val="00002943"/>
    <w:rsid w:val="000217CE"/>
    <w:rsid w:val="000345F3"/>
    <w:rsid w:val="00034752"/>
    <w:rsid w:val="000435A4"/>
    <w:rsid w:val="00064512"/>
    <w:rsid w:val="00074140"/>
    <w:rsid w:val="0009502B"/>
    <w:rsid w:val="000D048D"/>
    <w:rsid w:val="000D1BAF"/>
    <w:rsid w:val="000F73F3"/>
    <w:rsid w:val="000F7FAE"/>
    <w:rsid w:val="00111498"/>
    <w:rsid w:val="00116C83"/>
    <w:rsid w:val="00131878"/>
    <w:rsid w:val="00145CA4"/>
    <w:rsid w:val="0015380B"/>
    <w:rsid w:val="00164656"/>
    <w:rsid w:val="001B7074"/>
    <w:rsid w:val="001C6F17"/>
    <w:rsid w:val="001D5F7A"/>
    <w:rsid w:val="001F78E1"/>
    <w:rsid w:val="00222D35"/>
    <w:rsid w:val="00227545"/>
    <w:rsid w:val="00271AFB"/>
    <w:rsid w:val="00273297"/>
    <w:rsid w:val="00283F47"/>
    <w:rsid w:val="00290160"/>
    <w:rsid w:val="002A6DFE"/>
    <w:rsid w:val="002C4FFB"/>
    <w:rsid w:val="002C6680"/>
    <w:rsid w:val="002C6F72"/>
    <w:rsid w:val="002E2AD5"/>
    <w:rsid w:val="002E327E"/>
    <w:rsid w:val="002F1D58"/>
    <w:rsid w:val="00311309"/>
    <w:rsid w:val="00383A73"/>
    <w:rsid w:val="00391D22"/>
    <w:rsid w:val="003C0CDB"/>
    <w:rsid w:val="003D52DE"/>
    <w:rsid w:val="003D73BC"/>
    <w:rsid w:val="004040BD"/>
    <w:rsid w:val="00406CE9"/>
    <w:rsid w:val="00415913"/>
    <w:rsid w:val="0044139C"/>
    <w:rsid w:val="00442D34"/>
    <w:rsid w:val="00444FB3"/>
    <w:rsid w:val="00474232"/>
    <w:rsid w:val="00476981"/>
    <w:rsid w:val="0049033B"/>
    <w:rsid w:val="00490B50"/>
    <w:rsid w:val="0049190A"/>
    <w:rsid w:val="004A3CAD"/>
    <w:rsid w:val="004A3D3A"/>
    <w:rsid w:val="004B751B"/>
    <w:rsid w:val="004F048D"/>
    <w:rsid w:val="0051710C"/>
    <w:rsid w:val="00526082"/>
    <w:rsid w:val="00527878"/>
    <w:rsid w:val="00530488"/>
    <w:rsid w:val="00542CE1"/>
    <w:rsid w:val="00574831"/>
    <w:rsid w:val="0057567E"/>
    <w:rsid w:val="00576ACC"/>
    <w:rsid w:val="005835BF"/>
    <w:rsid w:val="005A101B"/>
    <w:rsid w:val="005B6D63"/>
    <w:rsid w:val="005C4CB2"/>
    <w:rsid w:val="005C75FE"/>
    <w:rsid w:val="005F3641"/>
    <w:rsid w:val="00615879"/>
    <w:rsid w:val="00620016"/>
    <w:rsid w:val="00643DEB"/>
    <w:rsid w:val="00650AAB"/>
    <w:rsid w:val="006708CF"/>
    <w:rsid w:val="00675C18"/>
    <w:rsid w:val="00682E1A"/>
    <w:rsid w:val="006E3D0C"/>
    <w:rsid w:val="006E7956"/>
    <w:rsid w:val="006E7F01"/>
    <w:rsid w:val="00700183"/>
    <w:rsid w:val="00724A4C"/>
    <w:rsid w:val="00731F63"/>
    <w:rsid w:val="00745D66"/>
    <w:rsid w:val="00750141"/>
    <w:rsid w:val="00763933"/>
    <w:rsid w:val="00765176"/>
    <w:rsid w:val="007663D3"/>
    <w:rsid w:val="00771334"/>
    <w:rsid w:val="00772B75"/>
    <w:rsid w:val="007974E0"/>
    <w:rsid w:val="007A018F"/>
    <w:rsid w:val="007A01B3"/>
    <w:rsid w:val="007A0FA6"/>
    <w:rsid w:val="007C1032"/>
    <w:rsid w:val="007C3A24"/>
    <w:rsid w:val="007F21B3"/>
    <w:rsid w:val="007F6250"/>
    <w:rsid w:val="00803411"/>
    <w:rsid w:val="008100FD"/>
    <w:rsid w:val="00814E23"/>
    <w:rsid w:val="00853115"/>
    <w:rsid w:val="008702B4"/>
    <w:rsid w:val="008878DD"/>
    <w:rsid w:val="008A164D"/>
    <w:rsid w:val="008A4C08"/>
    <w:rsid w:val="008B080C"/>
    <w:rsid w:val="008B16F6"/>
    <w:rsid w:val="008B6E48"/>
    <w:rsid w:val="008C7807"/>
    <w:rsid w:val="008F288E"/>
    <w:rsid w:val="00900FAD"/>
    <w:rsid w:val="00903F70"/>
    <w:rsid w:val="00916D62"/>
    <w:rsid w:val="009204CE"/>
    <w:rsid w:val="009205DB"/>
    <w:rsid w:val="00924527"/>
    <w:rsid w:val="00943E30"/>
    <w:rsid w:val="0095218E"/>
    <w:rsid w:val="009608F2"/>
    <w:rsid w:val="00980D35"/>
    <w:rsid w:val="0098322B"/>
    <w:rsid w:val="00997233"/>
    <w:rsid w:val="009C2707"/>
    <w:rsid w:val="009C68C4"/>
    <w:rsid w:val="009D0DD4"/>
    <w:rsid w:val="009D2820"/>
    <w:rsid w:val="009E03E1"/>
    <w:rsid w:val="009E5E3E"/>
    <w:rsid w:val="009E7F6F"/>
    <w:rsid w:val="00A338EC"/>
    <w:rsid w:val="00A35B9E"/>
    <w:rsid w:val="00A35C95"/>
    <w:rsid w:val="00A42FD8"/>
    <w:rsid w:val="00A5407D"/>
    <w:rsid w:val="00A560F3"/>
    <w:rsid w:val="00A660D6"/>
    <w:rsid w:val="00A777C7"/>
    <w:rsid w:val="00A77ADB"/>
    <w:rsid w:val="00A82780"/>
    <w:rsid w:val="00AA7877"/>
    <w:rsid w:val="00AB4FBF"/>
    <w:rsid w:val="00AC1D5B"/>
    <w:rsid w:val="00AF12D5"/>
    <w:rsid w:val="00B14982"/>
    <w:rsid w:val="00B3299E"/>
    <w:rsid w:val="00B369B7"/>
    <w:rsid w:val="00B373B4"/>
    <w:rsid w:val="00B41A69"/>
    <w:rsid w:val="00B43573"/>
    <w:rsid w:val="00B539DE"/>
    <w:rsid w:val="00B657B9"/>
    <w:rsid w:val="00B671C0"/>
    <w:rsid w:val="00B82639"/>
    <w:rsid w:val="00BA4E3A"/>
    <w:rsid w:val="00BB2B07"/>
    <w:rsid w:val="00BD2311"/>
    <w:rsid w:val="00BD252D"/>
    <w:rsid w:val="00BF12B3"/>
    <w:rsid w:val="00BF6E98"/>
    <w:rsid w:val="00C1484B"/>
    <w:rsid w:val="00C249CC"/>
    <w:rsid w:val="00C25FA4"/>
    <w:rsid w:val="00C31255"/>
    <w:rsid w:val="00C31423"/>
    <w:rsid w:val="00C32968"/>
    <w:rsid w:val="00C34D9F"/>
    <w:rsid w:val="00C4577A"/>
    <w:rsid w:val="00C661B8"/>
    <w:rsid w:val="00C778B1"/>
    <w:rsid w:val="00C83581"/>
    <w:rsid w:val="00C877AF"/>
    <w:rsid w:val="00CA4303"/>
    <w:rsid w:val="00CA4EFC"/>
    <w:rsid w:val="00CA716C"/>
    <w:rsid w:val="00CC41D2"/>
    <w:rsid w:val="00CE109C"/>
    <w:rsid w:val="00D15D56"/>
    <w:rsid w:val="00D40CAA"/>
    <w:rsid w:val="00D44B19"/>
    <w:rsid w:val="00D52BD7"/>
    <w:rsid w:val="00D60FB7"/>
    <w:rsid w:val="00D61EF3"/>
    <w:rsid w:val="00D743B5"/>
    <w:rsid w:val="00D9113C"/>
    <w:rsid w:val="00DB78F1"/>
    <w:rsid w:val="00DC3E03"/>
    <w:rsid w:val="00DE45BB"/>
    <w:rsid w:val="00E10332"/>
    <w:rsid w:val="00E14B8F"/>
    <w:rsid w:val="00E417AD"/>
    <w:rsid w:val="00E431E2"/>
    <w:rsid w:val="00E45A31"/>
    <w:rsid w:val="00E57342"/>
    <w:rsid w:val="00E61BFB"/>
    <w:rsid w:val="00E70B32"/>
    <w:rsid w:val="00E8116C"/>
    <w:rsid w:val="00E83719"/>
    <w:rsid w:val="00E96C32"/>
    <w:rsid w:val="00ED1E7E"/>
    <w:rsid w:val="00EE1946"/>
    <w:rsid w:val="00EE34C6"/>
    <w:rsid w:val="00EE6D57"/>
    <w:rsid w:val="00EF5759"/>
    <w:rsid w:val="00F01C43"/>
    <w:rsid w:val="00F1528A"/>
    <w:rsid w:val="00F30C89"/>
    <w:rsid w:val="00F41A46"/>
    <w:rsid w:val="00F470A8"/>
    <w:rsid w:val="00F64798"/>
    <w:rsid w:val="00F8328B"/>
    <w:rsid w:val="00FD54EB"/>
    <w:rsid w:val="00FF71A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8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793</Characters>
  <Application>Microsoft Office Word</Application>
  <DocSecurity>0</DocSecurity>
  <Lines>6</Lines>
  <Paragraphs>1</Paragraphs>
  <ScaleCrop>false</ScaleCrop>
  <Company>dhgjtryr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</dc:title>
  <dc:creator>starcraft</dc:creator>
  <cp:lastModifiedBy>sun</cp:lastModifiedBy>
  <cp:revision>8</cp:revision>
  <cp:lastPrinted>2007-06-11T06:22:00Z</cp:lastPrinted>
  <dcterms:created xsi:type="dcterms:W3CDTF">2015-03-30T08:36:00Z</dcterms:created>
  <dcterms:modified xsi:type="dcterms:W3CDTF">2015-03-31T03:04:00Z</dcterms:modified>
</cp:coreProperties>
</file>